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081"/>
      </w:tblGrid>
      <w:tr w:rsidR="00ED6A68" w:rsidRPr="005A62BD" w14:paraId="6AED5C32" w14:textId="77777777" w:rsidTr="00452A41">
        <w:trPr>
          <w:trHeight w:val="557"/>
        </w:trPr>
        <w:tc>
          <w:tcPr>
            <w:tcW w:w="5000" w:type="pct"/>
            <w:gridSpan w:val="2"/>
            <w:shd w:val="clear" w:color="auto" w:fill="auto"/>
            <w:vAlign w:val="center"/>
          </w:tcPr>
          <w:p w14:paraId="6CB15A98" w14:textId="08E16630" w:rsidR="00ED6A68" w:rsidRPr="005A62BD" w:rsidRDefault="0065380E" w:rsidP="00D73FC4">
            <w:pPr>
              <w:spacing w:after="0"/>
              <w:jc w:val="both"/>
              <w:rPr>
                <w:b/>
              </w:rPr>
            </w:pPr>
            <w:r w:rsidRPr="005A62BD">
              <w:rPr>
                <w:b/>
                <w:lang w:eastAsia="fr-FR"/>
              </w:rPr>
              <w:t>European Semester 201</w:t>
            </w:r>
            <w:r w:rsidR="002255B2" w:rsidRPr="005A62BD">
              <w:rPr>
                <w:b/>
                <w:lang w:eastAsia="fr-FR"/>
              </w:rPr>
              <w:t>7</w:t>
            </w:r>
            <w:r w:rsidRPr="005A62BD">
              <w:rPr>
                <w:b/>
                <w:lang w:eastAsia="fr-FR"/>
              </w:rPr>
              <w:t>/201</w:t>
            </w:r>
            <w:r w:rsidR="002255B2" w:rsidRPr="005A62BD">
              <w:rPr>
                <w:b/>
                <w:lang w:eastAsia="fr-FR"/>
              </w:rPr>
              <w:t>8</w:t>
            </w:r>
            <w:r w:rsidRPr="005A62BD">
              <w:rPr>
                <w:b/>
                <w:lang w:eastAsia="fr-FR"/>
              </w:rPr>
              <w:t xml:space="preserve"> country fiche on disability</w:t>
            </w:r>
          </w:p>
        </w:tc>
      </w:tr>
      <w:tr w:rsidR="00ED6A68" w:rsidRPr="005A62BD" w14:paraId="7FB81563" w14:textId="77777777" w:rsidTr="00452A41">
        <w:trPr>
          <w:trHeight w:val="557"/>
        </w:trPr>
        <w:tc>
          <w:tcPr>
            <w:tcW w:w="3341" w:type="pct"/>
            <w:shd w:val="clear" w:color="auto" w:fill="auto"/>
          </w:tcPr>
          <w:p w14:paraId="2EF6E86B" w14:textId="77777777" w:rsidR="00ED6A68" w:rsidRPr="005A62BD" w:rsidRDefault="002E56AB" w:rsidP="00D73FC4">
            <w:pPr>
              <w:spacing w:after="0"/>
              <w:jc w:val="both"/>
              <w:rPr>
                <w:b/>
              </w:rPr>
            </w:pPr>
            <w:r w:rsidRPr="005A62BD">
              <w:rPr>
                <w:b/>
              </w:rPr>
              <w:t>Slovakia</w:t>
            </w:r>
          </w:p>
        </w:tc>
        <w:tc>
          <w:tcPr>
            <w:tcW w:w="1659" w:type="pct"/>
            <w:vMerge w:val="restart"/>
            <w:shd w:val="clear" w:color="auto" w:fill="auto"/>
            <w:vAlign w:val="center"/>
          </w:tcPr>
          <w:p w14:paraId="513F2D42" w14:textId="77777777" w:rsidR="00ED6A68" w:rsidRPr="005A62BD" w:rsidRDefault="00F37C4F" w:rsidP="00D73FC4">
            <w:pPr>
              <w:spacing w:after="0"/>
              <w:jc w:val="both"/>
            </w:pPr>
            <w:r w:rsidRPr="005A62BD">
              <w:rPr>
                <w:noProof/>
                <w:lang w:eastAsia="zh-CN"/>
              </w:rPr>
              <w:drawing>
                <wp:inline distT="0" distB="0" distL="0" distR="0" wp14:anchorId="7F08ECD5" wp14:editId="14729813">
                  <wp:extent cx="1764000" cy="1713600"/>
                  <wp:effectExtent l="0" t="0" r="8255" b="1270"/>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000" cy="1713600"/>
                          </a:xfrm>
                          <a:prstGeom prst="rect">
                            <a:avLst/>
                          </a:prstGeom>
                          <a:noFill/>
                          <a:ln>
                            <a:noFill/>
                          </a:ln>
                        </pic:spPr>
                      </pic:pic>
                    </a:graphicData>
                  </a:graphic>
                </wp:inline>
              </w:drawing>
            </w:r>
          </w:p>
        </w:tc>
      </w:tr>
      <w:tr w:rsidR="00ED6A68" w:rsidRPr="005A62BD" w14:paraId="44DC119F" w14:textId="77777777" w:rsidTr="00452A41">
        <w:trPr>
          <w:trHeight w:val="1274"/>
        </w:trPr>
        <w:tc>
          <w:tcPr>
            <w:tcW w:w="3341" w:type="pct"/>
            <w:shd w:val="clear" w:color="auto" w:fill="auto"/>
          </w:tcPr>
          <w:p w14:paraId="5419840E" w14:textId="77777777" w:rsidR="00137236" w:rsidRPr="005A62BD" w:rsidRDefault="00ED6A68" w:rsidP="00D73FC4">
            <w:pPr>
              <w:spacing w:after="0"/>
              <w:jc w:val="both"/>
            </w:pPr>
            <w:r w:rsidRPr="005A62BD">
              <w:t xml:space="preserve">Report prepared by: </w:t>
            </w:r>
          </w:p>
          <w:p w14:paraId="71EBE81F" w14:textId="77777777" w:rsidR="00137236" w:rsidRPr="005A62BD" w:rsidRDefault="00137236" w:rsidP="00D73FC4">
            <w:pPr>
              <w:spacing w:after="0"/>
              <w:jc w:val="both"/>
            </w:pPr>
          </w:p>
          <w:p w14:paraId="0234E1B4" w14:textId="77777777" w:rsidR="00137236" w:rsidRPr="005A62BD" w:rsidRDefault="000A1DDB" w:rsidP="00D73FC4">
            <w:pPr>
              <w:spacing w:after="0"/>
              <w:jc w:val="both"/>
            </w:pPr>
            <w:r w:rsidRPr="005A62BD">
              <w:t>Ms. Da</w:t>
            </w:r>
            <w:r w:rsidR="00E61942" w:rsidRPr="005A62BD">
              <w:t>rina Ondrušová</w:t>
            </w:r>
            <w:r w:rsidR="003C5A2B" w:rsidRPr="005A62BD">
              <w:t xml:space="preserve">, </w:t>
            </w:r>
          </w:p>
          <w:p w14:paraId="41C3745B" w14:textId="77777777" w:rsidR="00137236" w:rsidRPr="005A62BD" w:rsidRDefault="000A1DDB" w:rsidP="00D73FC4">
            <w:pPr>
              <w:spacing w:after="0"/>
              <w:jc w:val="both"/>
            </w:pPr>
            <w:r w:rsidRPr="005A62BD">
              <w:t xml:space="preserve">Mrs. </w:t>
            </w:r>
            <w:r w:rsidR="00E61942" w:rsidRPr="005A62BD">
              <w:t>Kvetoslava Repková</w:t>
            </w:r>
            <w:r w:rsidR="003C5A2B" w:rsidRPr="005A62BD">
              <w:t xml:space="preserve"> </w:t>
            </w:r>
          </w:p>
          <w:p w14:paraId="0253A939" w14:textId="77777777" w:rsidR="00ED6A68" w:rsidRPr="005A62BD" w:rsidRDefault="003C5A2B" w:rsidP="00D73FC4">
            <w:pPr>
              <w:spacing w:after="0"/>
              <w:jc w:val="both"/>
            </w:pPr>
            <w:r w:rsidRPr="005A62BD">
              <w:t xml:space="preserve">and </w:t>
            </w:r>
            <w:r w:rsidR="000A1DDB" w:rsidRPr="005A62BD">
              <w:t xml:space="preserve">Mrs. </w:t>
            </w:r>
            <w:r w:rsidR="00E61942" w:rsidRPr="005A62BD">
              <w:t xml:space="preserve">Daniela Kešelová </w:t>
            </w:r>
          </w:p>
        </w:tc>
        <w:tc>
          <w:tcPr>
            <w:tcW w:w="1659" w:type="pct"/>
            <w:vMerge/>
            <w:shd w:val="clear" w:color="auto" w:fill="auto"/>
          </w:tcPr>
          <w:p w14:paraId="5E8F91DF" w14:textId="77777777" w:rsidR="00ED6A68" w:rsidRPr="005A62BD" w:rsidRDefault="00ED6A68" w:rsidP="00D73FC4">
            <w:pPr>
              <w:spacing w:after="0"/>
              <w:jc w:val="both"/>
              <w:rPr>
                <w:lang w:eastAsia="en-GB"/>
              </w:rPr>
            </w:pPr>
          </w:p>
        </w:tc>
      </w:tr>
      <w:tr w:rsidR="00ED6A68" w:rsidRPr="005A62BD" w14:paraId="46EF1744" w14:textId="77777777" w:rsidTr="00452A41">
        <w:trPr>
          <w:trHeight w:val="940"/>
        </w:trPr>
        <w:tc>
          <w:tcPr>
            <w:tcW w:w="3341" w:type="pct"/>
            <w:shd w:val="clear" w:color="auto" w:fill="auto"/>
          </w:tcPr>
          <w:p w14:paraId="499CEA09" w14:textId="77777777" w:rsidR="00ED6A68" w:rsidRPr="005A62BD" w:rsidRDefault="00ED6A68" w:rsidP="00D73FC4">
            <w:pPr>
              <w:spacing w:after="0"/>
              <w:jc w:val="both"/>
            </w:pPr>
            <w:r w:rsidRPr="005A62BD">
              <w:t>With comparative data provided by the ANED core team</w:t>
            </w:r>
          </w:p>
        </w:tc>
        <w:tc>
          <w:tcPr>
            <w:tcW w:w="1659" w:type="pct"/>
            <w:vMerge/>
            <w:shd w:val="clear" w:color="auto" w:fill="auto"/>
          </w:tcPr>
          <w:p w14:paraId="23CB3CFA" w14:textId="77777777" w:rsidR="00ED6A68" w:rsidRPr="005A62BD" w:rsidRDefault="00ED6A68" w:rsidP="00D73FC4">
            <w:pPr>
              <w:spacing w:after="0"/>
              <w:jc w:val="both"/>
              <w:rPr>
                <w:lang w:eastAsia="en-GB"/>
              </w:rPr>
            </w:pPr>
          </w:p>
        </w:tc>
      </w:tr>
    </w:tbl>
    <w:p w14:paraId="5D5C5A60" w14:textId="77777777" w:rsidR="00ED6A68" w:rsidRPr="005A62BD" w:rsidRDefault="00ED6A68" w:rsidP="00AB2EF5">
      <w:pPr>
        <w:spacing w:after="0"/>
      </w:pPr>
    </w:p>
    <w:p w14:paraId="3B040A70" w14:textId="446CF4B6" w:rsidR="00AF323E" w:rsidRPr="005A62BD" w:rsidRDefault="00AF323E" w:rsidP="00D73FC4">
      <w:pPr>
        <w:pStyle w:val="BodyText"/>
        <w:spacing w:after="0"/>
        <w:jc w:val="both"/>
      </w:pPr>
      <w:r w:rsidRPr="005A62BD">
        <w:t xml:space="preserve">The </w:t>
      </w:r>
      <w:hyperlink r:id="rId9" w:history="1">
        <w:r w:rsidRPr="005A62BD">
          <w:rPr>
            <w:rStyle w:val="Hyperlink"/>
            <w:color w:val="auto"/>
          </w:rPr>
          <w:t>Academic Network of European Disability experts</w:t>
        </w:r>
      </w:hyperlink>
      <w:r w:rsidRPr="005A62BD">
        <w:t xml:space="preserve"> (ANED) was established by the European Commission in 2008 to provide scientific support and advice for its disability policy Unit. </w:t>
      </w:r>
      <w:proofErr w:type="gramStart"/>
      <w:r w:rsidRPr="005A62BD">
        <w:t>In particular, the</w:t>
      </w:r>
      <w:proofErr w:type="gramEnd"/>
      <w:r w:rsidRPr="005A62BD">
        <w:t xml:space="preserve"> activities of the Network support the development of the </w:t>
      </w:r>
      <w:r w:rsidR="00534975" w:rsidRPr="005A62BD">
        <w:t>European Disability Strategy</w:t>
      </w:r>
      <w:r w:rsidRPr="005A62BD">
        <w:t xml:space="preserve"> </w:t>
      </w:r>
      <w:r w:rsidR="00534975" w:rsidRPr="005A62BD">
        <w:t xml:space="preserve">2010-2020 </w:t>
      </w:r>
      <w:r w:rsidRPr="005A62BD">
        <w:t xml:space="preserve">and practical implementation of the United Nations Convention on the Rights of </w:t>
      </w:r>
      <w:r w:rsidR="008C17EE">
        <w:t>Persons with Disabilities</w:t>
      </w:r>
      <w:r w:rsidR="00534975" w:rsidRPr="005A62BD">
        <w:t xml:space="preserve"> in the EU</w:t>
      </w:r>
      <w:r w:rsidRPr="005A62BD">
        <w:t>.</w:t>
      </w:r>
    </w:p>
    <w:p w14:paraId="2511444E" w14:textId="77777777" w:rsidR="003C5A2B" w:rsidRPr="005A62BD" w:rsidRDefault="003C5A2B" w:rsidP="00D73FC4">
      <w:pPr>
        <w:pStyle w:val="BodyText"/>
        <w:spacing w:after="0"/>
        <w:jc w:val="both"/>
        <w:rPr>
          <w:lang w:eastAsia="en-GB"/>
        </w:rPr>
      </w:pPr>
    </w:p>
    <w:p w14:paraId="2276211B" w14:textId="77777777" w:rsidR="00AF323E" w:rsidRPr="005A62BD" w:rsidRDefault="00AF323E" w:rsidP="00D73FC4">
      <w:pPr>
        <w:pStyle w:val="BodyText"/>
        <w:spacing w:after="0"/>
        <w:jc w:val="both"/>
      </w:pPr>
      <w:r w:rsidRPr="005A62BD">
        <w:t xml:space="preserve">This country report has been prepared as input for the </w:t>
      </w:r>
      <w:r w:rsidR="00534975" w:rsidRPr="005A62BD">
        <w:t>E</w:t>
      </w:r>
      <w:r w:rsidR="00526839" w:rsidRPr="005A62BD">
        <w:t>uropean Semester</w:t>
      </w:r>
      <w:r w:rsidR="00C75AFD" w:rsidRPr="005A62BD">
        <w:t xml:space="preserve"> from a disability perspective</w:t>
      </w:r>
      <w:r w:rsidRPr="005A62BD">
        <w:t xml:space="preserve">. </w:t>
      </w:r>
    </w:p>
    <w:p w14:paraId="28E0C833" w14:textId="77777777" w:rsidR="003C5A2B" w:rsidRPr="005A62BD" w:rsidRDefault="003C5A2B" w:rsidP="00D73FC4">
      <w:pPr>
        <w:pStyle w:val="BodyText"/>
        <w:spacing w:after="0"/>
        <w:jc w:val="both"/>
      </w:pPr>
    </w:p>
    <w:p w14:paraId="526D19A1" w14:textId="77777777" w:rsidR="0065380E" w:rsidRPr="005A62BD" w:rsidRDefault="00480DCE" w:rsidP="00D73FC4">
      <w:pPr>
        <w:pStyle w:val="BodyText"/>
        <w:spacing w:after="0"/>
        <w:jc w:val="both"/>
        <w:rPr>
          <w:i/>
        </w:rPr>
      </w:pPr>
      <w:r w:rsidRPr="005A62BD">
        <w:rPr>
          <w:i/>
        </w:rPr>
        <w:t>Note</w:t>
      </w:r>
      <w:r w:rsidR="00F46384" w:rsidRPr="005A62BD">
        <w:rPr>
          <w:i/>
        </w:rPr>
        <w:t>:</w:t>
      </w:r>
    </w:p>
    <w:p w14:paraId="78E0B92A" w14:textId="77777777" w:rsidR="00F54C94" w:rsidRPr="005A62BD" w:rsidRDefault="00F54C94" w:rsidP="00D73FC4">
      <w:pPr>
        <w:pStyle w:val="BodyText"/>
        <w:spacing w:after="0"/>
        <w:jc w:val="both"/>
        <w:rPr>
          <w:i/>
        </w:rPr>
      </w:pPr>
      <w:r w:rsidRPr="005A62BD">
        <w:rPr>
          <w:i/>
        </w:rPr>
        <w:t>The statistics provided in October 2017 are based on the EU-SILC 2015. This is the most recent microdata available to researchers for analysis from Eurostat. This report may be updated as new data becomes available.</w:t>
      </w:r>
    </w:p>
    <w:p w14:paraId="5E3AC144" w14:textId="77777777" w:rsidR="0065380E" w:rsidRPr="005A62BD" w:rsidRDefault="0065380E" w:rsidP="00AB2EF5">
      <w:pPr>
        <w:spacing w:after="0"/>
      </w:pPr>
    </w:p>
    <w:p w14:paraId="0F1528F8" w14:textId="77777777" w:rsidR="0065380E" w:rsidRPr="005A62BD" w:rsidRDefault="0065380E" w:rsidP="00AB2EF5">
      <w:pPr>
        <w:spacing w:after="0"/>
      </w:pPr>
    </w:p>
    <w:p w14:paraId="39D16EB6" w14:textId="77777777" w:rsidR="0065380E" w:rsidRPr="005A62BD" w:rsidRDefault="0065380E" w:rsidP="00AB2EF5">
      <w:pPr>
        <w:spacing w:after="0"/>
      </w:pPr>
    </w:p>
    <w:p w14:paraId="329113EF" w14:textId="77777777" w:rsidR="003E7EC1" w:rsidRPr="005A62BD" w:rsidRDefault="00B4024B" w:rsidP="00AB2EF5">
      <w:pPr>
        <w:spacing w:after="0"/>
        <w:ind w:firstLine="720"/>
      </w:pPr>
      <w:r w:rsidRPr="005A62BD">
        <w:rPr>
          <w:noProof/>
          <w:lang w:eastAsia="zh-CN"/>
        </w:rPr>
        <w:drawing>
          <wp:anchor distT="0" distB="0" distL="114300" distR="114300" simplePos="0" relativeHeight="251659264" behindDoc="0" locked="0" layoutInCell="1" allowOverlap="1" wp14:anchorId="0B40CB93" wp14:editId="4FCE827F">
            <wp:simplePos x="0" y="0"/>
            <wp:positionH relativeFrom="column">
              <wp:posOffset>22225</wp:posOffset>
            </wp:positionH>
            <wp:positionV relativeFrom="paragraph">
              <wp:posOffset>86360</wp:posOffset>
            </wp:positionV>
            <wp:extent cx="910590" cy="514350"/>
            <wp:effectExtent l="0" t="0" r="381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059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2BD">
        <w:t xml:space="preserve"> </w:t>
      </w:r>
      <w:r w:rsidRPr="005A62BD">
        <w:tab/>
      </w:r>
      <w:r w:rsidRPr="005A62BD">
        <w:tab/>
      </w:r>
      <w:r w:rsidRPr="005A62BD">
        <w:tab/>
      </w:r>
      <w:r w:rsidRPr="005A62BD">
        <w:tab/>
      </w:r>
      <w:r w:rsidRPr="005A62BD">
        <w:tab/>
      </w:r>
      <w:r w:rsidRPr="005A62BD">
        <w:tab/>
      </w:r>
      <w:r w:rsidR="00F37C4F" w:rsidRPr="005A62BD">
        <w:rPr>
          <w:noProof/>
          <w:lang w:eastAsia="zh-CN"/>
        </w:rPr>
        <w:drawing>
          <wp:inline distT="0" distB="0" distL="0" distR="0" wp14:anchorId="40710F8A" wp14:editId="4C6DECF6">
            <wp:extent cx="1428750" cy="600075"/>
            <wp:effectExtent l="0" t="0" r="0" b="952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inline>
        </w:drawing>
      </w:r>
    </w:p>
    <w:p w14:paraId="02B68D2C" w14:textId="77777777" w:rsidR="00A14F67" w:rsidRPr="005A62BD" w:rsidRDefault="003E7EC1" w:rsidP="00AB2EF5">
      <w:pPr>
        <w:spacing w:after="0"/>
      </w:pPr>
      <w:r w:rsidRPr="005A62BD">
        <w:br w:type="page"/>
      </w:r>
      <w:r w:rsidR="000018BD" w:rsidRPr="005A62BD">
        <w:rPr>
          <w:b/>
        </w:rPr>
        <w:lastRenderedPageBreak/>
        <w:t>C</w:t>
      </w:r>
      <w:r w:rsidR="0017541C" w:rsidRPr="005A62BD">
        <w:rPr>
          <w:b/>
        </w:rPr>
        <w:t>ontents</w:t>
      </w:r>
    </w:p>
    <w:p w14:paraId="30528031" w14:textId="77777777" w:rsidR="0017541C" w:rsidRPr="005A62BD" w:rsidRDefault="0017541C" w:rsidP="00AB2EF5">
      <w:pPr>
        <w:spacing w:after="0"/>
        <w:rPr>
          <w:b/>
        </w:rPr>
      </w:pPr>
    </w:p>
    <w:p w14:paraId="426A1060" w14:textId="05E50650" w:rsidR="009E13D0" w:rsidRDefault="00B732E9">
      <w:pPr>
        <w:pStyle w:val="TOC1"/>
        <w:tabs>
          <w:tab w:val="right" w:leader="dot" w:pos="9060"/>
        </w:tabs>
        <w:rPr>
          <w:rFonts w:asciiTheme="minorHAnsi" w:eastAsiaTheme="minorEastAsia" w:hAnsiTheme="minorHAnsi" w:cstheme="minorBidi"/>
          <w:noProof/>
          <w:sz w:val="22"/>
          <w:szCs w:val="22"/>
          <w:lang w:val="nl-NL" w:eastAsia="nl-NL"/>
        </w:rPr>
      </w:pPr>
      <w:r w:rsidRPr="005A62BD">
        <w:fldChar w:fldCharType="begin"/>
      </w:r>
      <w:r w:rsidRPr="005A62BD">
        <w:instrText xml:space="preserve"> TOC \o "1-3" \h \z \u </w:instrText>
      </w:r>
      <w:r w:rsidRPr="005A62BD">
        <w:fldChar w:fldCharType="separate"/>
      </w:r>
      <w:hyperlink w:anchor="_Toc499120866" w:history="1">
        <w:r w:rsidR="009E13D0" w:rsidRPr="00F9617D">
          <w:rPr>
            <w:rStyle w:val="Hyperlink"/>
            <w:noProof/>
          </w:rPr>
          <w:t>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Summary of the overall situation and challenges</w:t>
        </w:r>
        <w:r w:rsidR="009E13D0">
          <w:rPr>
            <w:noProof/>
            <w:webHidden/>
          </w:rPr>
          <w:tab/>
        </w:r>
        <w:r w:rsidR="009E13D0">
          <w:rPr>
            <w:noProof/>
            <w:webHidden/>
          </w:rPr>
          <w:fldChar w:fldCharType="begin"/>
        </w:r>
        <w:r w:rsidR="009E13D0">
          <w:rPr>
            <w:noProof/>
            <w:webHidden/>
          </w:rPr>
          <w:instrText xml:space="preserve"> PAGEREF _Toc499120866 \h </w:instrText>
        </w:r>
        <w:r w:rsidR="009E13D0">
          <w:rPr>
            <w:noProof/>
            <w:webHidden/>
          </w:rPr>
        </w:r>
        <w:r w:rsidR="009E13D0">
          <w:rPr>
            <w:noProof/>
            <w:webHidden/>
          </w:rPr>
          <w:fldChar w:fldCharType="separate"/>
        </w:r>
        <w:r w:rsidR="00204C4E">
          <w:rPr>
            <w:noProof/>
            <w:webHidden/>
          </w:rPr>
          <w:t>2</w:t>
        </w:r>
        <w:r w:rsidR="009E13D0">
          <w:rPr>
            <w:noProof/>
            <w:webHidden/>
          </w:rPr>
          <w:fldChar w:fldCharType="end"/>
        </w:r>
      </w:hyperlink>
    </w:p>
    <w:p w14:paraId="7A031481" w14:textId="67183D05" w:rsidR="009E13D0" w:rsidRDefault="003B54BB">
      <w:pPr>
        <w:pStyle w:val="TOC1"/>
        <w:tabs>
          <w:tab w:val="right" w:leader="dot" w:pos="9060"/>
        </w:tabs>
        <w:rPr>
          <w:rFonts w:asciiTheme="minorHAnsi" w:eastAsiaTheme="minorEastAsia" w:hAnsiTheme="minorHAnsi" w:cstheme="minorBidi"/>
          <w:noProof/>
          <w:sz w:val="22"/>
          <w:szCs w:val="22"/>
          <w:lang w:val="nl-NL" w:eastAsia="nl-NL"/>
        </w:rPr>
      </w:pPr>
      <w:hyperlink w:anchor="_Toc499120867" w:history="1">
        <w:r w:rsidR="009E13D0" w:rsidRPr="00F9617D">
          <w:rPr>
            <w:rStyle w:val="Hyperlink"/>
            <w:noProof/>
          </w:rPr>
          <w:t>2</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Assessment of the situation of disabled people with respect to the Europe 2020 headline targets</w:t>
        </w:r>
        <w:r w:rsidR="009E13D0">
          <w:rPr>
            <w:noProof/>
            <w:webHidden/>
          </w:rPr>
          <w:tab/>
        </w:r>
        <w:r w:rsidR="009E13D0">
          <w:rPr>
            <w:noProof/>
            <w:webHidden/>
          </w:rPr>
          <w:fldChar w:fldCharType="begin"/>
        </w:r>
        <w:r w:rsidR="009E13D0">
          <w:rPr>
            <w:noProof/>
            <w:webHidden/>
          </w:rPr>
          <w:instrText xml:space="preserve"> PAGEREF _Toc499120867 \h </w:instrText>
        </w:r>
        <w:r w:rsidR="009E13D0">
          <w:rPr>
            <w:noProof/>
            <w:webHidden/>
          </w:rPr>
        </w:r>
        <w:r w:rsidR="009E13D0">
          <w:rPr>
            <w:noProof/>
            <w:webHidden/>
          </w:rPr>
          <w:fldChar w:fldCharType="separate"/>
        </w:r>
        <w:r w:rsidR="00204C4E">
          <w:rPr>
            <w:noProof/>
            <w:webHidden/>
          </w:rPr>
          <w:t>3</w:t>
        </w:r>
        <w:r w:rsidR="009E13D0">
          <w:rPr>
            <w:noProof/>
            <w:webHidden/>
          </w:rPr>
          <w:fldChar w:fldCharType="end"/>
        </w:r>
      </w:hyperlink>
    </w:p>
    <w:p w14:paraId="63368CB3" w14:textId="65BA78B8"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68" w:history="1">
        <w:r w:rsidR="009E13D0" w:rsidRPr="00F9617D">
          <w:rPr>
            <w:rStyle w:val="Hyperlink"/>
            <w:noProof/>
          </w:rPr>
          <w:t>2.1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Strategic targets</w:t>
        </w:r>
        <w:r w:rsidR="009E13D0">
          <w:rPr>
            <w:noProof/>
            <w:webHidden/>
          </w:rPr>
          <w:tab/>
        </w:r>
        <w:r w:rsidR="009E13D0">
          <w:rPr>
            <w:noProof/>
            <w:webHidden/>
          </w:rPr>
          <w:fldChar w:fldCharType="begin"/>
        </w:r>
        <w:r w:rsidR="009E13D0">
          <w:rPr>
            <w:noProof/>
            <w:webHidden/>
          </w:rPr>
          <w:instrText xml:space="preserve"> PAGEREF _Toc499120868 \h </w:instrText>
        </w:r>
        <w:r w:rsidR="009E13D0">
          <w:rPr>
            <w:noProof/>
            <w:webHidden/>
          </w:rPr>
        </w:r>
        <w:r w:rsidR="009E13D0">
          <w:rPr>
            <w:noProof/>
            <w:webHidden/>
          </w:rPr>
          <w:fldChar w:fldCharType="separate"/>
        </w:r>
        <w:r w:rsidR="00204C4E">
          <w:rPr>
            <w:noProof/>
            <w:webHidden/>
          </w:rPr>
          <w:t>3</w:t>
        </w:r>
        <w:r w:rsidR="009E13D0">
          <w:rPr>
            <w:noProof/>
            <w:webHidden/>
          </w:rPr>
          <w:fldChar w:fldCharType="end"/>
        </w:r>
      </w:hyperlink>
    </w:p>
    <w:p w14:paraId="3EC0A856" w14:textId="76A895ED" w:rsidR="009E13D0" w:rsidRDefault="003B54BB">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99120869" w:history="1">
        <w:r w:rsidR="009E13D0" w:rsidRPr="00F9617D">
          <w:rPr>
            <w:rStyle w:val="Hyperlink"/>
            <w:noProof/>
          </w:rPr>
          <w:t>2.1.1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A note on the use of EU data</w:t>
        </w:r>
        <w:r w:rsidR="009E13D0">
          <w:rPr>
            <w:noProof/>
            <w:webHidden/>
          </w:rPr>
          <w:tab/>
        </w:r>
        <w:r w:rsidR="009E13D0">
          <w:rPr>
            <w:noProof/>
            <w:webHidden/>
          </w:rPr>
          <w:fldChar w:fldCharType="begin"/>
        </w:r>
        <w:r w:rsidR="009E13D0">
          <w:rPr>
            <w:noProof/>
            <w:webHidden/>
          </w:rPr>
          <w:instrText xml:space="preserve"> PAGEREF _Toc499120869 \h </w:instrText>
        </w:r>
        <w:r w:rsidR="009E13D0">
          <w:rPr>
            <w:noProof/>
            <w:webHidden/>
          </w:rPr>
        </w:r>
        <w:r w:rsidR="009E13D0">
          <w:rPr>
            <w:noProof/>
            <w:webHidden/>
          </w:rPr>
          <w:fldChar w:fldCharType="separate"/>
        </w:r>
        <w:r w:rsidR="00204C4E">
          <w:rPr>
            <w:noProof/>
            <w:webHidden/>
          </w:rPr>
          <w:t>3</w:t>
        </w:r>
        <w:r w:rsidR="009E13D0">
          <w:rPr>
            <w:noProof/>
            <w:webHidden/>
          </w:rPr>
          <w:fldChar w:fldCharType="end"/>
        </w:r>
      </w:hyperlink>
    </w:p>
    <w:p w14:paraId="0006C802" w14:textId="0A19655B"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70" w:history="1">
        <w:r w:rsidR="009E13D0" w:rsidRPr="00F9617D">
          <w:rPr>
            <w:rStyle w:val="Hyperlink"/>
            <w:noProof/>
          </w:rPr>
          <w:t>2.2</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Employment data</w:t>
        </w:r>
        <w:r w:rsidR="009E13D0">
          <w:rPr>
            <w:noProof/>
            <w:webHidden/>
          </w:rPr>
          <w:tab/>
        </w:r>
        <w:r w:rsidR="009E13D0">
          <w:rPr>
            <w:noProof/>
            <w:webHidden/>
          </w:rPr>
          <w:fldChar w:fldCharType="begin"/>
        </w:r>
        <w:r w:rsidR="009E13D0">
          <w:rPr>
            <w:noProof/>
            <w:webHidden/>
          </w:rPr>
          <w:instrText xml:space="preserve"> PAGEREF _Toc499120870 \h </w:instrText>
        </w:r>
        <w:r w:rsidR="009E13D0">
          <w:rPr>
            <w:noProof/>
            <w:webHidden/>
          </w:rPr>
        </w:r>
        <w:r w:rsidR="009E13D0">
          <w:rPr>
            <w:noProof/>
            <w:webHidden/>
          </w:rPr>
          <w:fldChar w:fldCharType="separate"/>
        </w:r>
        <w:r w:rsidR="00204C4E">
          <w:rPr>
            <w:noProof/>
            <w:webHidden/>
          </w:rPr>
          <w:t>5</w:t>
        </w:r>
        <w:r w:rsidR="009E13D0">
          <w:rPr>
            <w:noProof/>
            <w:webHidden/>
          </w:rPr>
          <w:fldChar w:fldCharType="end"/>
        </w:r>
      </w:hyperlink>
    </w:p>
    <w:p w14:paraId="1F33A342" w14:textId="309CFE31" w:rsidR="009E13D0" w:rsidRDefault="003B54BB">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99120871" w:history="1">
        <w:r w:rsidR="009E13D0" w:rsidRPr="00F9617D">
          <w:rPr>
            <w:rStyle w:val="Hyperlink"/>
            <w:noProof/>
          </w:rPr>
          <w:t>2.2.1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Unemployment</w:t>
        </w:r>
        <w:r w:rsidR="009E13D0">
          <w:rPr>
            <w:noProof/>
            <w:webHidden/>
          </w:rPr>
          <w:tab/>
        </w:r>
        <w:r w:rsidR="009E13D0">
          <w:rPr>
            <w:noProof/>
            <w:webHidden/>
          </w:rPr>
          <w:fldChar w:fldCharType="begin"/>
        </w:r>
        <w:r w:rsidR="009E13D0">
          <w:rPr>
            <w:noProof/>
            <w:webHidden/>
          </w:rPr>
          <w:instrText xml:space="preserve"> PAGEREF _Toc499120871 \h </w:instrText>
        </w:r>
        <w:r w:rsidR="009E13D0">
          <w:rPr>
            <w:noProof/>
            <w:webHidden/>
          </w:rPr>
        </w:r>
        <w:r w:rsidR="009E13D0">
          <w:rPr>
            <w:noProof/>
            <w:webHidden/>
          </w:rPr>
          <w:fldChar w:fldCharType="separate"/>
        </w:r>
        <w:r w:rsidR="00204C4E">
          <w:rPr>
            <w:noProof/>
            <w:webHidden/>
          </w:rPr>
          <w:t>8</w:t>
        </w:r>
        <w:r w:rsidR="009E13D0">
          <w:rPr>
            <w:noProof/>
            <w:webHidden/>
          </w:rPr>
          <w:fldChar w:fldCharType="end"/>
        </w:r>
      </w:hyperlink>
    </w:p>
    <w:p w14:paraId="1B0AED1A" w14:textId="778F5C55" w:rsidR="009E13D0" w:rsidRDefault="003B54BB">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99120872" w:history="1">
        <w:r w:rsidR="009E13D0" w:rsidRPr="00F9617D">
          <w:rPr>
            <w:rStyle w:val="Hyperlink"/>
            <w:noProof/>
          </w:rPr>
          <w:t>2.2.2</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Economic activity</w:t>
        </w:r>
        <w:r w:rsidR="009E13D0">
          <w:rPr>
            <w:noProof/>
            <w:webHidden/>
          </w:rPr>
          <w:tab/>
        </w:r>
        <w:r w:rsidR="009E13D0">
          <w:rPr>
            <w:noProof/>
            <w:webHidden/>
          </w:rPr>
          <w:fldChar w:fldCharType="begin"/>
        </w:r>
        <w:r w:rsidR="009E13D0">
          <w:rPr>
            <w:noProof/>
            <w:webHidden/>
          </w:rPr>
          <w:instrText xml:space="preserve"> PAGEREF _Toc499120872 \h </w:instrText>
        </w:r>
        <w:r w:rsidR="009E13D0">
          <w:rPr>
            <w:noProof/>
            <w:webHidden/>
          </w:rPr>
        </w:r>
        <w:r w:rsidR="009E13D0">
          <w:rPr>
            <w:noProof/>
            <w:webHidden/>
          </w:rPr>
          <w:fldChar w:fldCharType="separate"/>
        </w:r>
        <w:r w:rsidR="00204C4E">
          <w:rPr>
            <w:noProof/>
            <w:webHidden/>
          </w:rPr>
          <w:t>12</w:t>
        </w:r>
        <w:r w:rsidR="009E13D0">
          <w:rPr>
            <w:noProof/>
            <w:webHidden/>
          </w:rPr>
          <w:fldChar w:fldCharType="end"/>
        </w:r>
      </w:hyperlink>
    </w:p>
    <w:p w14:paraId="0D36C28F" w14:textId="7642351D"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73" w:history="1">
        <w:r w:rsidR="009E13D0" w:rsidRPr="00F9617D">
          <w:rPr>
            <w:rStyle w:val="Hyperlink"/>
            <w:noProof/>
          </w:rPr>
          <w:t>2.3</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Education data</w:t>
        </w:r>
        <w:r w:rsidR="009E13D0">
          <w:rPr>
            <w:noProof/>
            <w:webHidden/>
          </w:rPr>
          <w:tab/>
        </w:r>
        <w:r w:rsidR="009E13D0">
          <w:rPr>
            <w:noProof/>
            <w:webHidden/>
          </w:rPr>
          <w:fldChar w:fldCharType="begin"/>
        </w:r>
        <w:r w:rsidR="009E13D0">
          <w:rPr>
            <w:noProof/>
            <w:webHidden/>
          </w:rPr>
          <w:instrText xml:space="preserve"> PAGEREF _Toc499120873 \h </w:instrText>
        </w:r>
        <w:r w:rsidR="009E13D0">
          <w:rPr>
            <w:noProof/>
            <w:webHidden/>
          </w:rPr>
        </w:r>
        <w:r w:rsidR="009E13D0">
          <w:rPr>
            <w:noProof/>
            <w:webHidden/>
          </w:rPr>
          <w:fldChar w:fldCharType="separate"/>
        </w:r>
        <w:r w:rsidR="00204C4E">
          <w:rPr>
            <w:noProof/>
            <w:webHidden/>
          </w:rPr>
          <w:t>14</w:t>
        </w:r>
        <w:r w:rsidR="009E13D0">
          <w:rPr>
            <w:noProof/>
            <w:webHidden/>
          </w:rPr>
          <w:fldChar w:fldCharType="end"/>
        </w:r>
      </w:hyperlink>
    </w:p>
    <w:p w14:paraId="08D29FB3" w14:textId="10BA963B" w:rsidR="009E13D0" w:rsidRDefault="003B54BB">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99120874" w:history="1">
        <w:r w:rsidR="009E13D0" w:rsidRPr="00F9617D">
          <w:rPr>
            <w:rStyle w:val="Hyperlink"/>
            <w:noProof/>
          </w:rPr>
          <w:t>2.3.1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Early school leavers</w:t>
        </w:r>
        <w:r w:rsidR="009E13D0">
          <w:rPr>
            <w:noProof/>
            <w:webHidden/>
          </w:rPr>
          <w:tab/>
        </w:r>
        <w:r w:rsidR="009E13D0">
          <w:rPr>
            <w:noProof/>
            <w:webHidden/>
          </w:rPr>
          <w:fldChar w:fldCharType="begin"/>
        </w:r>
        <w:r w:rsidR="009E13D0">
          <w:rPr>
            <w:noProof/>
            <w:webHidden/>
          </w:rPr>
          <w:instrText xml:space="preserve"> PAGEREF _Toc499120874 \h </w:instrText>
        </w:r>
        <w:r w:rsidR="009E13D0">
          <w:rPr>
            <w:noProof/>
            <w:webHidden/>
          </w:rPr>
        </w:r>
        <w:r w:rsidR="009E13D0">
          <w:rPr>
            <w:noProof/>
            <w:webHidden/>
          </w:rPr>
          <w:fldChar w:fldCharType="separate"/>
        </w:r>
        <w:r w:rsidR="00204C4E">
          <w:rPr>
            <w:noProof/>
            <w:webHidden/>
          </w:rPr>
          <w:t>15</w:t>
        </w:r>
        <w:r w:rsidR="009E13D0">
          <w:rPr>
            <w:noProof/>
            <w:webHidden/>
          </w:rPr>
          <w:fldChar w:fldCharType="end"/>
        </w:r>
      </w:hyperlink>
    </w:p>
    <w:p w14:paraId="13454EE7" w14:textId="5713DB42" w:rsidR="009E13D0" w:rsidRDefault="003B54BB">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99120875" w:history="1">
        <w:r w:rsidR="009E13D0" w:rsidRPr="00F9617D">
          <w:rPr>
            <w:rStyle w:val="Hyperlink"/>
            <w:noProof/>
          </w:rPr>
          <w:t>2.3.2</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Tertiary education</w:t>
        </w:r>
        <w:r w:rsidR="009E13D0">
          <w:rPr>
            <w:noProof/>
            <w:webHidden/>
          </w:rPr>
          <w:tab/>
        </w:r>
        <w:r w:rsidR="009E13D0">
          <w:rPr>
            <w:noProof/>
            <w:webHidden/>
          </w:rPr>
          <w:fldChar w:fldCharType="begin"/>
        </w:r>
        <w:r w:rsidR="009E13D0">
          <w:rPr>
            <w:noProof/>
            <w:webHidden/>
          </w:rPr>
          <w:instrText xml:space="preserve"> PAGEREF _Toc499120875 \h </w:instrText>
        </w:r>
        <w:r w:rsidR="009E13D0">
          <w:rPr>
            <w:noProof/>
            <w:webHidden/>
          </w:rPr>
        </w:r>
        <w:r w:rsidR="009E13D0">
          <w:rPr>
            <w:noProof/>
            <w:webHidden/>
          </w:rPr>
          <w:fldChar w:fldCharType="separate"/>
        </w:r>
        <w:r w:rsidR="00204C4E">
          <w:rPr>
            <w:noProof/>
            <w:webHidden/>
          </w:rPr>
          <w:t>16</w:t>
        </w:r>
        <w:r w:rsidR="009E13D0">
          <w:rPr>
            <w:noProof/>
            <w:webHidden/>
          </w:rPr>
          <w:fldChar w:fldCharType="end"/>
        </w:r>
      </w:hyperlink>
    </w:p>
    <w:p w14:paraId="64F0A239" w14:textId="7F9622FF"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76" w:history="1">
        <w:r w:rsidR="009E13D0" w:rsidRPr="00F9617D">
          <w:rPr>
            <w:rStyle w:val="Hyperlink"/>
            <w:noProof/>
          </w:rPr>
          <w:t>2.4</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Poverty and social exclusion data</w:t>
        </w:r>
        <w:r w:rsidR="009E13D0">
          <w:rPr>
            <w:noProof/>
            <w:webHidden/>
          </w:rPr>
          <w:tab/>
        </w:r>
        <w:r w:rsidR="009E13D0">
          <w:rPr>
            <w:noProof/>
            <w:webHidden/>
          </w:rPr>
          <w:fldChar w:fldCharType="begin"/>
        </w:r>
        <w:r w:rsidR="009E13D0">
          <w:rPr>
            <w:noProof/>
            <w:webHidden/>
          </w:rPr>
          <w:instrText xml:space="preserve"> PAGEREF _Toc499120876 \h </w:instrText>
        </w:r>
        <w:r w:rsidR="009E13D0">
          <w:rPr>
            <w:noProof/>
            <w:webHidden/>
          </w:rPr>
        </w:r>
        <w:r w:rsidR="009E13D0">
          <w:rPr>
            <w:noProof/>
            <w:webHidden/>
          </w:rPr>
          <w:fldChar w:fldCharType="separate"/>
        </w:r>
        <w:r w:rsidR="00204C4E">
          <w:rPr>
            <w:noProof/>
            <w:webHidden/>
          </w:rPr>
          <w:t>19</w:t>
        </w:r>
        <w:r w:rsidR="009E13D0">
          <w:rPr>
            <w:noProof/>
            <w:webHidden/>
          </w:rPr>
          <w:fldChar w:fldCharType="end"/>
        </w:r>
      </w:hyperlink>
    </w:p>
    <w:p w14:paraId="7E8C4849" w14:textId="2163488A" w:rsidR="009E13D0" w:rsidRDefault="003B54BB">
      <w:pPr>
        <w:pStyle w:val="TOC1"/>
        <w:tabs>
          <w:tab w:val="right" w:leader="dot" w:pos="9060"/>
        </w:tabs>
        <w:rPr>
          <w:rFonts w:asciiTheme="minorHAnsi" w:eastAsiaTheme="minorEastAsia" w:hAnsiTheme="minorHAnsi" w:cstheme="minorBidi"/>
          <w:noProof/>
          <w:sz w:val="22"/>
          <w:szCs w:val="22"/>
          <w:lang w:val="nl-NL" w:eastAsia="nl-NL"/>
        </w:rPr>
      </w:pPr>
      <w:hyperlink w:anchor="_Toc499120877" w:history="1">
        <w:r w:rsidR="009E13D0" w:rsidRPr="00F9617D">
          <w:rPr>
            <w:rStyle w:val="Hyperlink"/>
            <w:noProof/>
          </w:rPr>
          <w:t>3</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Description of t</w:t>
        </w:r>
        <w:bookmarkStart w:id="0" w:name="_GoBack"/>
        <w:bookmarkEnd w:id="0"/>
        <w:r w:rsidR="009E13D0" w:rsidRPr="00F9617D">
          <w:rPr>
            <w:rStyle w:val="Hyperlink"/>
            <w:noProof/>
          </w:rPr>
          <w:t>he situation and trends in relation to each target area</w:t>
        </w:r>
        <w:r w:rsidR="009E13D0">
          <w:rPr>
            <w:noProof/>
            <w:webHidden/>
          </w:rPr>
          <w:tab/>
        </w:r>
        <w:r w:rsidR="009E13D0">
          <w:rPr>
            <w:noProof/>
            <w:webHidden/>
          </w:rPr>
          <w:fldChar w:fldCharType="begin"/>
        </w:r>
        <w:r w:rsidR="009E13D0">
          <w:rPr>
            <w:noProof/>
            <w:webHidden/>
          </w:rPr>
          <w:instrText xml:space="preserve"> PAGEREF _Toc499120877 \h </w:instrText>
        </w:r>
        <w:r w:rsidR="009E13D0">
          <w:rPr>
            <w:noProof/>
            <w:webHidden/>
          </w:rPr>
        </w:r>
        <w:r w:rsidR="009E13D0">
          <w:rPr>
            <w:noProof/>
            <w:webHidden/>
          </w:rPr>
          <w:fldChar w:fldCharType="separate"/>
        </w:r>
        <w:r w:rsidR="00204C4E">
          <w:rPr>
            <w:noProof/>
            <w:webHidden/>
          </w:rPr>
          <w:t>23</w:t>
        </w:r>
        <w:r w:rsidR="009E13D0">
          <w:rPr>
            <w:noProof/>
            <w:webHidden/>
          </w:rPr>
          <w:fldChar w:fldCharType="end"/>
        </w:r>
      </w:hyperlink>
    </w:p>
    <w:p w14:paraId="66BE01B8" w14:textId="7500A3D5"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78" w:history="1">
        <w:r w:rsidR="009E13D0" w:rsidRPr="00F9617D">
          <w:rPr>
            <w:rStyle w:val="Hyperlink"/>
            <w:noProof/>
          </w:rPr>
          <w:t>3.1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Employment</w:t>
        </w:r>
        <w:r w:rsidR="009E13D0">
          <w:rPr>
            <w:noProof/>
            <w:webHidden/>
          </w:rPr>
          <w:tab/>
        </w:r>
        <w:r w:rsidR="009E13D0">
          <w:rPr>
            <w:noProof/>
            <w:webHidden/>
          </w:rPr>
          <w:fldChar w:fldCharType="begin"/>
        </w:r>
        <w:r w:rsidR="009E13D0">
          <w:rPr>
            <w:noProof/>
            <w:webHidden/>
          </w:rPr>
          <w:instrText xml:space="preserve"> PAGEREF _Toc499120878 \h </w:instrText>
        </w:r>
        <w:r w:rsidR="009E13D0">
          <w:rPr>
            <w:noProof/>
            <w:webHidden/>
          </w:rPr>
        </w:r>
        <w:r w:rsidR="009E13D0">
          <w:rPr>
            <w:noProof/>
            <w:webHidden/>
          </w:rPr>
          <w:fldChar w:fldCharType="separate"/>
        </w:r>
        <w:r w:rsidR="00204C4E">
          <w:rPr>
            <w:noProof/>
            <w:webHidden/>
          </w:rPr>
          <w:t>23</w:t>
        </w:r>
        <w:r w:rsidR="009E13D0">
          <w:rPr>
            <w:noProof/>
            <w:webHidden/>
          </w:rPr>
          <w:fldChar w:fldCharType="end"/>
        </w:r>
      </w:hyperlink>
    </w:p>
    <w:p w14:paraId="2254CA96" w14:textId="036383C6"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79" w:history="1">
        <w:r w:rsidR="009E13D0" w:rsidRPr="00F9617D">
          <w:rPr>
            <w:rStyle w:val="Hyperlink"/>
            <w:noProof/>
          </w:rPr>
          <w:t>3.2</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Education</w:t>
        </w:r>
        <w:r w:rsidR="009E13D0">
          <w:rPr>
            <w:noProof/>
            <w:webHidden/>
          </w:rPr>
          <w:tab/>
        </w:r>
        <w:r w:rsidR="009E13D0">
          <w:rPr>
            <w:noProof/>
            <w:webHidden/>
          </w:rPr>
          <w:fldChar w:fldCharType="begin"/>
        </w:r>
        <w:r w:rsidR="009E13D0">
          <w:rPr>
            <w:noProof/>
            <w:webHidden/>
          </w:rPr>
          <w:instrText xml:space="preserve"> PAGEREF _Toc499120879 \h </w:instrText>
        </w:r>
        <w:r w:rsidR="009E13D0">
          <w:rPr>
            <w:noProof/>
            <w:webHidden/>
          </w:rPr>
        </w:r>
        <w:r w:rsidR="009E13D0">
          <w:rPr>
            <w:noProof/>
            <w:webHidden/>
          </w:rPr>
          <w:fldChar w:fldCharType="separate"/>
        </w:r>
        <w:r w:rsidR="00204C4E">
          <w:rPr>
            <w:noProof/>
            <w:webHidden/>
          </w:rPr>
          <w:t>24</w:t>
        </w:r>
        <w:r w:rsidR="009E13D0">
          <w:rPr>
            <w:noProof/>
            <w:webHidden/>
          </w:rPr>
          <w:fldChar w:fldCharType="end"/>
        </w:r>
      </w:hyperlink>
    </w:p>
    <w:p w14:paraId="29EC8EB2" w14:textId="3E440B60"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0" w:history="1">
        <w:r w:rsidR="009E13D0" w:rsidRPr="00F9617D">
          <w:rPr>
            <w:rStyle w:val="Hyperlink"/>
            <w:noProof/>
          </w:rPr>
          <w:t>3.3</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Poverty and social inclusion</w:t>
        </w:r>
        <w:r w:rsidR="009E13D0">
          <w:rPr>
            <w:noProof/>
            <w:webHidden/>
          </w:rPr>
          <w:tab/>
        </w:r>
        <w:r w:rsidR="009E13D0">
          <w:rPr>
            <w:noProof/>
            <w:webHidden/>
          </w:rPr>
          <w:fldChar w:fldCharType="begin"/>
        </w:r>
        <w:r w:rsidR="009E13D0">
          <w:rPr>
            <w:noProof/>
            <w:webHidden/>
          </w:rPr>
          <w:instrText xml:space="preserve"> PAGEREF _Toc499120880 \h </w:instrText>
        </w:r>
        <w:r w:rsidR="009E13D0">
          <w:rPr>
            <w:noProof/>
            <w:webHidden/>
          </w:rPr>
        </w:r>
        <w:r w:rsidR="009E13D0">
          <w:rPr>
            <w:noProof/>
            <w:webHidden/>
          </w:rPr>
          <w:fldChar w:fldCharType="separate"/>
        </w:r>
        <w:r w:rsidR="00204C4E">
          <w:rPr>
            <w:noProof/>
            <w:webHidden/>
          </w:rPr>
          <w:t>26</w:t>
        </w:r>
        <w:r w:rsidR="009E13D0">
          <w:rPr>
            <w:noProof/>
            <w:webHidden/>
          </w:rPr>
          <w:fldChar w:fldCharType="end"/>
        </w:r>
      </w:hyperlink>
    </w:p>
    <w:p w14:paraId="732B10F6" w14:textId="461BA7B8" w:rsidR="009E13D0" w:rsidRDefault="003B54BB">
      <w:pPr>
        <w:pStyle w:val="TOC1"/>
        <w:tabs>
          <w:tab w:val="right" w:leader="dot" w:pos="9060"/>
        </w:tabs>
        <w:rPr>
          <w:rFonts w:asciiTheme="minorHAnsi" w:eastAsiaTheme="minorEastAsia" w:hAnsiTheme="minorHAnsi" w:cstheme="minorBidi"/>
          <w:noProof/>
          <w:sz w:val="22"/>
          <w:szCs w:val="22"/>
          <w:lang w:val="nl-NL" w:eastAsia="nl-NL"/>
        </w:rPr>
      </w:pPr>
      <w:hyperlink w:anchor="_Toc499120881" w:history="1">
        <w:r w:rsidR="009E13D0" w:rsidRPr="00F9617D">
          <w:rPr>
            <w:rStyle w:val="Hyperlink"/>
            <w:noProof/>
            <w:lang w:eastAsia="en-GB"/>
          </w:rPr>
          <w:t>4</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Assessment of policies in place to meet the relevant headline targets</w:t>
        </w:r>
        <w:r w:rsidR="009E13D0">
          <w:rPr>
            <w:noProof/>
            <w:webHidden/>
          </w:rPr>
          <w:tab/>
        </w:r>
        <w:r w:rsidR="009E13D0">
          <w:rPr>
            <w:noProof/>
            <w:webHidden/>
          </w:rPr>
          <w:fldChar w:fldCharType="begin"/>
        </w:r>
        <w:r w:rsidR="009E13D0">
          <w:rPr>
            <w:noProof/>
            <w:webHidden/>
          </w:rPr>
          <w:instrText xml:space="preserve"> PAGEREF _Toc499120881 \h </w:instrText>
        </w:r>
        <w:r w:rsidR="009E13D0">
          <w:rPr>
            <w:noProof/>
            <w:webHidden/>
          </w:rPr>
        </w:r>
        <w:r w:rsidR="009E13D0">
          <w:rPr>
            <w:noProof/>
            <w:webHidden/>
          </w:rPr>
          <w:fldChar w:fldCharType="separate"/>
        </w:r>
        <w:r w:rsidR="00204C4E">
          <w:rPr>
            <w:noProof/>
            <w:webHidden/>
          </w:rPr>
          <w:t>28</w:t>
        </w:r>
        <w:r w:rsidR="009E13D0">
          <w:rPr>
            <w:noProof/>
            <w:webHidden/>
          </w:rPr>
          <w:fldChar w:fldCharType="end"/>
        </w:r>
      </w:hyperlink>
    </w:p>
    <w:p w14:paraId="5636A673" w14:textId="2C482517"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2" w:history="1">
        <w:r w:rsidR="009E13D0" w:rsidRPr="00F9617D">
          <w:rPr>
            <w:rStyle w:val="Hyperlink"/>
            <w:noProof/>
          </w:rPr>
          <w:t>4.1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Employment</w:t>
        </w:r>
        <w:r w:rsidR="009E13D0">
          <w:rPr>
            <w:noProof/>
            <w:webHidden/>
          </w:rPr>
          <w:tab/>
        </w:r>
        <w:r w:rsidR="009E13D0">
          <w:rPr>
            <w:noProof/>
            <w:webHidden/>
          </w:rPr>
          <w:fldChar w:fldCharType="begin"/>
        </w:r>
        <w:r w:rsidR="009E13D0">
          <w:rPr>
            <w:noProof/>
            <w:webHidden/>
          </w:rPr>
          <w:instrText xml:space="preserve"> PAGEREF _Toc499120882 \h </w:instrText>
        </w:r>
        <w:r w:rsidR="009E13D0">
          <w:rPr>
            <w:noProof/>
            <w:webHidden/>
          </w:rPr>
        </w:r>
        <w:r w:rsidR="009E13D0">
          <w:rPr>
            <w:noProof/>
            <w:webHidden/>
          </w:rPr>
          <w:fldChar w:fldCharType="separate"/>
        </w:r>
        <w:r w:rsidR="00204C4E">
          <w:rPr>
            <w:noProof/>
            <w:webHidden/>
          </w:rPr>
          <w:t>28</w:t>
        </w:r>
        <w:r w:rsidR="009E13D0">
          <w:rPr>
            <w:noProof/>
            <w:webHidden/>
          </w:rPr>
          <w:fldChar w:fldCharType="end"/>
        </w:r>
      </w:hyperlink>
    </w:p>
    <w:p w14:paraId="099C7800" w14:textId="215AE623"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3" w:history="1">
        <w:r w:rsidR="009E13D0" w:rsidRPr="00F9617D">
          <w:rPr>
            <w:rStyle w:val="Hyperlink"/>
            <w:noProof/>
          </w:rPr>
          <w:t>4.2</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Education</w:t>
        </w:r>
        <w:r w:rsidR="009E13D0">
          <w:rPr>
            <w:noProof/>
            <w:webHidden/>
          </w:rPr>
          <w:tab/>
        </w:r>
        <w:r w:rsidR="009E13D0">
          <w:rPr>
            <w:noProof/>
            <w:webHidden/>
          </w:rPr>
          <w:fldChar w:fldCharType="begin"/>
        </w:r>
        <w:r w:rsidR="009E13D0">
          <w:rPr>
            <w:noProof/>
            <w:webHidden/>
          </w:rPr>
          <w:instrText xml:space="preserve"> PAGEREF _Toc499120883 \h </w:instrText>
        </w:r>
        <w:r w:rsidR="009E13D0">
          <w:rPr>
            <w:noProof/>
            <w:webHidden/>
          </w:rPr>
        </w:r>
        <w:r w:rsidR="009E13D0">
          <w:rPr>
            <w:noProof/>
            <w:webHidden/>
          </w:rPr>
          <w:fldChar w:fldCharType="separate"/>
        </w:r>
        <w:r w:rsidR="00204C4E">
          <w:rPr>
            <w:noProof/>
            <w:webHidden/>
          </w:rPr>
          <w:t>34</w:t>
        </w:r>
        <w:r w:rsidR="009E13D0">
          <w:rPr>
            <w:noProof/>
            <w:webHidden/>
          </w:rPr>
          <w:fldChar w:fldCharType="end"/>
        </w:r>
      </w:hyperlink>
    </w:p>
    <w:p w14:paraId="52B452E5" w14:textId="583FA629"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4" w:history="1">
        <w:r w:rsidR="009E13D0" w:rsidRPr="00F9617D">
          <w:rPr>
            <w:rStyle w:val="Hyperlink"/>
            <w:noProof/>
          </w:rPr>
          <w:t>4.3</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Poverty and social inclusion</w:t>
        </w:r>
        <w:r w:rsidR="009E13D0">
          <w:rPr>
            <w:noProof/>
            <w:webHidden/>
          </w:rPr>
          <w:tab/>
        </w:r>
        <w:r w:rsidR="009E13D0">
          <w:rPr>
            <w:noProof/>
            <w:webHidden/>
          </w:rPr>
          <w:fldChar w:fldCharType="begin"/>
        </w:r>
        <w:r w:rsidR="009E13D0">
          <w:rPr>
            <w:noProof/>
            <w:webHidden/>
          </w:rPr>
          <w:instrText xml:space="preserve"> PAGEREF _Toc499120884 \h </w:instrText>
        </w:r>
        <w:r w:rsidR="009E13D0">
          <w:rPr>
            <w:noProof/>
            <w:webHidden/>
          </w:rPr>
        </w:r>
        <w:r w:rsidR="009E13D0">
          <w:rPr>
            <w:noProof/>
            <w:webHidden/>
          </w:rPr>
          <w:fldChar w:fldCharType="separate"/>
        </w:r>
        <w:r w:rsidR="00204C4E">
          <w:rPr>
            <w:noProof/>
            <w:webHidden/>
          </w:rPr>
          <w:t>37</w:t>
        </w:r>
        <w:r w:rsidR="009E13D0">
          <w:rPr>
            <w:noProof/>
            <w:webHidden/>
          </w:rPr>
          <w:fldChar w:fldCharType="end"/>
        </w:r>
      </w:hyperlink>
    </w:p>
    <w:p w14:paraId="6ADCEC30" w14:textId="6D98A4B5"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5" w:history="1">
        <w:r w:rsidR="009E13D0" w:rsidRPr="00F9617D">
          <w:rPr>
            <w:rStyle w:val="Hyperlink"/>
            <w:noProof/>
            <w:lang w:eastAsia="en-GB"/>
          </w:rPr>
          <w:t>4.4</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Synergies between developments in the different areas</w:t>
        </w:r>
        <w:r w:rsidR="009E13D0">
          <w:rPr>
            <w:noProof/>
            <w:webHidden/>
          </w:rPr>
          <w:tab/>
        </w:r>
        <w:r w:rsidR="009E13D0">
          <w:rPr>
            <w:noProof/>
            <w:webHidden/>
          </w:rPr>
          <w:fldChar w:fldCharType="begin"/>
        </w:r>
        <w:r w:rsidR="009E13D0">
          <w:rPr>
            <w:noProof/>
            <w:webHidden/>
          </w:rPr>
          <w:instrText xml:space="preserve"> PAGEREF _Toc499120885 \h </w:instrText>
        </w:r>
        <w:r w:rsidR="009E13D0">
          <w:rPr>
            <w:noProof/>
            <w:webHidden/>
          </w:rPr>
        </w:r>
        <w:r w:rsidR="009E13D0">
          <w:rPr>
            <w:noProof/>
            <w:webHidden/>
          </w:rPr>
          <w:fldChar w:fldCharType="separate"/>
        </w:r>
        <w:r w:rsidR="00204C4E">
          <w:rPr>
            <w:noProof/>
            <w:webHidden/>
          </w:rPr>
          <w:t>40</w:t>
        </w:r>
        <w:r w:rsidR="009E13D0">
          <w:rPr>
            <w:noProof/>
            <w:webHidden/>
          </w:rPr>
          <w:fldChar w:fldCharType="end"/>
        </w:r>
      </w:hyperlink>
    </w:p>
    <w:p w14:paraId="385DD4D7" w14:textId="3C112665" w:rsidR="009E13D0" w:rsidRDefault="003B54BB">
      <w:pPr>
        <w:pStyle w:val="TOC1"/>
        <w:tabs>
          <w:tab w:val="right" w:leader="dot" w:pos="9060"/>
        </w:tabs>
        <w:rPr>
          <w:rFonts w:asciiTheme="minorHAnsi" w:eastAsiaTheme="minorEastAsia" w:hAnsiTheme="minorHAnsi" w:cstheme="minorBidi"/>
          <w:noProof/>
          <w:sz w:val="22"/>
          <w:szCs w:val="22"/>
          <w:lang w:val="nl-NL" w:eastAsia="nl-NL"/>
        </w:rPr>
      </w:pPr>
      <w:hyperlink w:anchor="_Toc499120886" w:history="1">
        <w:r w:rsidR="009E13D0" w:rsidRPr="00F9617D">
          <w:rPr>
            <w:rStyle w:val="Hyperlink"/>
            <w:noProof/>
            <w:lang w:eastAsia="en-GB"/>
          </w:rPr>
          <w:t>5</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Review of the European Semester from a disability perspective</w:t>
        </w:r>
        <w:r w:rsidR="009E13D0">
          <w:rPr>
            <w:noProof/>
            <w:webHidden/>
          </w:rPr>
          <w:tab/>
        </w:r>
        <w:r w:rsidR="009E13D0">
          <w:rPr>
            <w:noProof/>
            <w:webHidden/>
          </w:rPr>
          <w:fldChar w:fldCharType="begin"/>
        </w:r>
        <w:r w:rsidR="009E13D0">
          <w:rPr>
            <w:noProof/>
            <w:webHidden/>
          </w:rPr>
          <w:instrText xml:space="preserve"> PAGEREF _Toc499120886 \h </w:instrText>
        </w:r>
        <w:r w:rsidR="009E13D0">
          <w:rPr>
            <w:noProof/>
            <w:webHidden/>
          </w:rPr>
        </w:r>
        <w:r w:rsidR="009E13D0">
          <w:rPr>
            <w:noProof/>
            <w:webHidden/>
          </w:rPr>
          <w:fldChar w:fldCharType="separate"/>
        </w:r>
        <w:r w:rsidR="00204C4E">
          <w:rPr>
            <w:noProof/>
            <w:webHidden/>
          </w:rPr>
          <w:t>42</w:t>
        </w:r>
        <w:r w:rsidR="009E13D0">
          <w:rPr>
            <w:noProof/>
            <w:webHidden/>
          </w:rPr>
          <w:fldChar w:fldCharType="end"/>
        </w:r>
      </w:hyperlink>
    </w:p>
    <w:p w14:paraId="02BB0910" w14:textId="00964FC1"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7" w:history="1">
        <w:r w:rsidR="009E13D0" w:rsidRPr="00F9617D">
          <w:rPr>
            <w:rStyle w:val="Hyperlink"/>
            <w:noProof/>
          </w:rPr>
          <w:t>5.1</w:t>
        </w:r>
        <w:r w:rsidR="009E13D0">
          <w:rPr>
            <w:rFonts w:asciiTheme="minorHAnsi" w:eastAsiaTheme="minorEastAsia" w:hAnsiTheme="minorHAnsi" w:cstheme="minorBidi"/>
            <w:noProof/>
            <w:sz w:val="22"/>
            <w:szCs w:val="22"/>
            <w:lang w:val="nl-NL" w:eastAsia="nl-NL"/>
          </w:rPr>
          <w:tab/>
        </w:r>
        <w:r w:rsidR="009E13D0" w:rsidRPr="00F9617D">
          <w:rPr>
            <w:rStyle w:val="Hyperlink"/>
            <w:noProof/>
          </w:rPr>
          <w:t>Progress on disability-specific Country Specific Recommendations (CSRs)</w:t>
        </w:r>
        <w:r w:rsidR="009E13D0">
          <w:rPr>
            <w:noProof/>
            <w:webHidden/>
          </w:rPr>
          <w:tab/>
        </w:r>
        <w:r w:rsidR="009E13D0">
          <w:rPr>
            <w:noProof/>
            <w:webHidden/>
          </w:rPr>
          <w:fldChar w:fldCharType="begin"/>
        </w:r>
        <w:r w:rsidR="009E13D0">
          <w:rPr>
            <w:noProof/>
            <w:webHidden/>
          </w:rPr>
          <w:instrText xml:space="preserve"> PAGEREF _Toc499120887 \h </w:instrText>
        </w:r>
        <w:r w:rsidR="009E13D0">
          <w:rPr>
            <w:noProof/>
            <w:webHidden/>
          </w:rPr>
        </w:r>
        <w:r w:rsidR="009E13D0">
          <w:rPr>
            <w:noProof/>
            <w:webHidden/>
          </w:rPr>
          <w:fldChar w:fldCharType="separate"/>
        </w:r>
        <w:r w:rsidR="00204C4E">
          <w:rPr>
            <w:noProof/>
            <w:webHidden/>
          </w:rPr>
          <w:t>42</w:t>
        </w:r>
        <w:r w:rsidR="009E13D0">
          <w:rPr>
            <w:noProof/>
            <w:webHidden/>
          </w:rPr>
          <w:fldChar w:fldCharType="end"/>
        </w:r>
      </w:hyperlink>
    </w:p>
    <w:p w14:paraId="5C574CD4" w14:textId="00477D5D"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8" w:history="1">
        <w:r w:rsidR="009E13D0" w:rsidRPr="00F9617D">
          <w:rPr>
            <w:rStyle w:val="Hyperlink"/>
            <w:noProof/>
            <w:lang w:eastAsia="en-GB"/>
          </w:rPr>
          <w:t>5.2</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Progress on other CSRs from a disability perspective</w:t>
        </w:r>
        <w:r w:rsidR="009E13D0">
          <w:rPr>
            <w:noProof/>
            <w:webHidden/>
          </w:rPr>
          <w:tab/>
        </w:r>
        <w:r w:rsidR="009E13D0">
          <w:rPr>
            <w:noProof/>
            <w:webHidden/>
          </w:rPr>
          <w:fldChar w:fldCharType="begin"/>
        </w:r>
        <w:r w:rsidR="009E13D0">
          <w:rPr>
            <w:noProof/>
            <w:webHidden/>
          </w:rPr>
          <w:instrText xml:space="preserve"> PAGEREF _Toc499120888 \h </w:instrText>
        </w:r>
        <w:r w:rsidR="009E13D0">
          <w:rPr>
            <w:noProof/>
            <w:webHidden/>
          </w:rPr>
        </w:r>
        <w:r w:rsidR="009E13D0">
          <w:rPr>
            <w:noProof/>
            <w:webHidden/>
          </w:rPr>
          <w:fldChar w:fldCharType="separate"/>
        </w:r>
        <w:r w:rsidR="00204C4E">
          <w:rPr>
            <w:noProof/>
            <w:webHidden/>
          </w:rPr>
          <w:t>42</w:t>
        </w:r>
        <w:r w:rsidR="009E13D0">
          <w:rPr>
            <w:noProof/>
            <w:webHidden/>
          </w:rPr>
          <w:fldChar w:fldCharType="end"/>
        </w:r>
      </w:hyperlink>
    </w:p>
    <w:p w14:paraId="1C2B4CB1" w14:textId="5DC98283" w:rsidR="009E13D0" w:rsidRDefault="003B54BB">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99120889" w:history="1">
        <w:r w:rsidR="009E13D0" w:rsidRPr="00F9617D">
          <w:rPr>
            <w:rStyle w:val="Hyperlink"/>
            <w:noProof/>
            <w:lang w:eastAsia="en-GB"/>
          </w:rPr>
          <w:t>5.3</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Assessment of disability issues in the Country Report (CR)</w:t>
        </w:r>
        <w:r w:rsidR="009E13D0">
          <w:rPr>
            <w:noProof/>
            <w:webHidden/>
          </w:rPr>
          <w:tab/>
        </w:r>
        <w:r w:rsidR="009E13D0">
          <w:rPr>
            <w:noProof/>
            <w:webHidden/>
          </w:rPr>
          <w:fldChar w:fldCharType="begin"/>
        </w:r>
        <w:r w:rsidR="009E13D0">
          <w:rPr>
            <w:noProof/>
            <w:webHidden/>
          </w:rPr>
          <w:instrText xml:space="preserve"> PAGEREF _Toc499120889 \h </w:instrText>
        </w:r>
        <w:r w:rsidR="009E13D0">
          <w:rPr>
            <w:noProof/>
            <w:webHidden/>
          </w:rPr>
        </w:r>
        <w:r w:rsidR="009E13D0">
          <w:rPr>
            <w:noProof/>
            <w:webHidden/>
          </w:rPr>
          <w:fldChar w:fldCharType="separate"/>
        </w:r>
        <w:r w:rsidR="00204C4E">
          <w:rPr>
            <w:noProof/>
            <w:webHidden/>
          </w:rPr>
          <w:t>43</w:t>
        </w:r>
        <w:r w:rsidR="009E13D0">
          <w:rPr>
            <w:noProof/>
            <w:webHidden/>
          </w:rPr>
          <w:fldChar w:fldCharType="end"/>
        </w:r>
      </w:hyperlink>
    </w:p>
    <w:p w14:paraId="4429ED74" w14:textId="09ED8EAF" w:rsidR="009E13D0" w:rsidRDefault="003B54BB">
      <w:pPr>
        <w:pStyle w:val="TOC1"/>
        <w:tabs>
          <w:tab w:val="right" w:leader="dot" w:pos="9060"/>
        </w:tabs>
        <w:rPr>
          <w:rFonts w:asciiTheme="minorHAnsi" w:eastAsiaTheme="minorEastAsia" w:hAnsiTheme="minorHAnsi" w:cstheme="minorBidi"/>
          <w:noProof/>
          <w:sz w:val="22"/>
          <w:szCs w:val="22"/>
          <w:lang w:val="nl-NL" w:eastAsia="nl-NL"/>
        </w:rPr>
      </w:pPr>
      <w:hyperlink w:anchor="_Toc499120890" w:history="1">
        <w:r w:rsidR="009E13D0" w:rsidRPr="00F9617D">
          <w:rPr>
            <w:rStyle w:val="Hyperlink"/>
            <w:noProof/>
            <w:lang w:eastAsia="en-GB"/>
          </w:rPr>
          <w:t>6</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Assessment of the structural funds ESIF 2014-2020 or other relevant funds</w:t>
        </w:r>
        <w:r w:rsidR="009E13D0" w:rsidRPr="00F9617D">
          <w:rPr>
            <w:rStyle w:val="Hyperlink"/>
            <w:noProof/>
          </w:rPr>
          <w:t xml:space="preserve"> </w:t>
        </w:r>
        <w:r w:rsidR="009E13D0" w:rsidRPr="00F9617D">
          <w:rPr>
            <w:rStyle w:val="Hyperlink"/>
            <w:noProof/>
            <w:lang w:eastAsia="en-GB"/>
          </w:rPr>
          <w:t>in relation to disability challenges</w:t>
        </w:r>
        <w:r w:rsidR="009E13D0">
          <w:rPr>
            <w:noProof/>
            <w:webHidden/>
          </w:rPr>
          <w:tab/>
        </w:r>
        <w:r w:rsidR="009E13D0">
          <w:rPr>
            <w:noProof/>
            <w:webHidden/>
          </w:rPr>
          <w:fldChar w:fldCharType="begin"/>
        </w:r>
        <w:r w:rsidR="009E13D0">
          <w:rPr>
            <w:noProof/>
            <w:webHidden/>
          </w:rPr>
          <w:instrText xml:space="preserve"> PAGEREF _Toc499120890 \h </w:instrText>
        </w:r>
        <w:r w:rsidR="009E13D0">
          <w:rPr>
            <w:noProof/>
            <w:webHidden/>
          </w:rPr>
        </w:r>
        <w:r w:rsidR="009E13D0">
          <w:rPr>
            <w:noProof/>
            <w:webHidden/>
          </w:rPr>
          <w:fldChar w:fldCharType="separate"/>
        </w:r>
        <w:r w:rsidR="00204C4E">
          <w:rPr>
            <w:noProof/>
            <w:webHidden/>
          </w:rPr>
          <w:t>47</w:t>
        </w:r>
        <w:r w:rsidR="009E13D0">
          <w:rPr>
            <w:noProof/>
            <w:webHidden/>
          </w:rPr>
          <w:fldChar w:fldCharType="end"/>
        </w:r>
      </w:hyperlink>
    </w:p>
    <w:p w14:paraId="17875C1A" w14:textId="728BA849" w:rsidR="009E13D0" w:rsidRDefault="003B54BB">
      <w:pPr>
        <w:pStyle w:val="TOC1"/>
        <w:tabs>
          <w:tab w:val="right" w:leader="dot" w:pos="9060"/>
        </w:tabs>
        <w:rPr>
          <w:rFonts w:asciiTheme="minorHAnsi" w:eastAsiaTheme="minorEastAsia" w:hAnsiTheme="minorHAnsi" w:cstheme="minorBidi"/>
          <w:noProof/>
          <w:sz w:val="22"/>
          <w:szCs w:val="22"/>
          <w:lang w:val="nl-NL" w:eastAsia="nl-NL"/>
        </w:rPr>
      </w:pPr>
      <w:hyperlink w:anchor="_Toc499120891" w:history="1">
        <w:r w:rsidR="009E13D0" w:rsidRPr="00F9617D">
          <w:rPr>
            <w:rStyle w:val="Hyperlink"/>
            <w:noProof/>
            <w:lang w:eastAsia="en-GB"/>
          </w:rPr>
          <w:t>7</w:t>
        </w:r>
        <w:r w:rsidR="009E13D0">
          <w:rPr>
            <w:rFonts w:asciiTheme="minorHAnsi" w:eastAsiaTheme="minorEastAsia" w:hAnsiTheme="minorHAnsi" w:cstheme="minorBidi"/>
            <w:noProof/>
            <w:sz w:val="22"/>
            <w:szCs w:val="22"/>
            <w:lang w:val="nl-NL" w:eastAsia="nl-NL"/>
          </w:rPr>
          <w:tab/>
        </w:r>
        <w:r w:rsidR="009E13D0" w:rsidRPr="00F9617D">
          <w:rPr>
            <w:rStyle w:val="Hyperlink"/>
            <w:noProof/>
            <w:lang w:eastAsia="en-GB"/>
          </w:rPr>
          <w:t>Recommendations</w:t>
        </w:r>
        <w:r w:rsidR="009E13D0">
          <w:rPr>
            <w:noProof/>
            <w:webHidden/>
          </w:rPr>
          <w:tab/>
        </w:r>
        <w:r w:rsidR="009E13D0">
          <w:rPr>
            <w:noProof/>
            <w:webHidden/>
          </w:rPr>
          <w:fldChar w:fldCharType="begin"/>
        </w:r>
        <w:r w:rsidR="009E13D0">
          <w:rPr>
            <w:noProof/>
            <w:webHidden/>
          </w:rPr>
          <w:instrText xml:space="preserve"> PAGEREF _Toc499120891 \h </w:instrText>
        </w:r>
        <w:r w:rsidR="009E13D0">
          <w:rPr>
            <w:noProof/>
            <w:webHidden/>
          </w:rPr>
        </w:r>
        <w:r w:rsidR="009E13D0">
          <w:rPr>
            <w:noProof/>
            <w:webHidden/>
          </w:rPr>
          <w:fldChar w:fldCharType="separate"/>
        </w:r>
        <w:r w:rsidR="00204C4E">
          <w:rPr>
            <w:noProof/>
            <w:webHidden/>
          </w:rPr>
          <w:t>50</w:t>
        </w:r>
        <w:r w:rsidR="009E13D0">
          <w:rPr>
            <w:noProof/>
            <w:webHidden/>
          </w:rPr>
          <w:fldChar w:fldCharType="end"/>
        </w:r>
      </w:hyperlink>
    </w:p>
    <w:p w14:paraId="599FF2BC" w14:textId="3F97ECF4" w:rsidR="004D01C6" w:rsidRPr="005A62BD" w:rsidRDefault="00B732E9" w:rsidP="00AB2EF5">
      <w:pPr>
        <w:spacing w:after="0"/>
      </w:pPr>
      <w:r w:rsidRPr="005A62BD">
        <w:fldChar w:fldCharType="end"/>
      </w:r>
    </w:p>
    <w:p w14:paraId="682FEDBC" w14:textId="77777777" w:rsidR="00383F40" w:rsidRPr="005A62BD" w:rsidRDefault="004D01C6" w:rsidP="005A62BD">
      <w:pPr>
        <w:pStyle w:val="Heading1"/>
      </w:pPr>
      <w:bookmarkStart w:id="1" w:name="_Toc499120866"/>
      <w:r w:rsidRPr="005A62BD">
        <w:lastRenderedPageBreak/>
        <w:t>Summary of the overall situation and challenges</w:t>
      </w:r>
      <w:bookmarkEnd w:id="1"/>
    </w:p>
    <w:p w14:paraId="11C04487" w14:textId="77777777" w:rsidR="0017541C" w:rsidRPr="005A62BD" w:rsidRDefault="0017541C" w:rsidP="00D73FC4">
      <w:pPr>
        <w:spacing w:after="0"/>
        <w:jc w:val="both"/>
      </w:pPr>
    </w:p>
    <w:p w14:paraId="4E1452A9" w14:textId="31A365BE" w:rsidR="008318E4" w:rsidRPr="005A62BD" w:rsidRDefault="00E503CA" w:rsidP="00D73FC4">
      <w:pPr>
        <w:spacing w:after="0"/>
        <w:jc w:val="both"/>
      </w:pPr>
      <w:r w:rsidRPr="005A62BD">
        <w:t xml:space="preserve">From the disability perspective, there have been several positive developments in </w:t>
      </w:r>
      <w:r w:rsidR="008318E4" w:rsidRPr="005A62BD">
        <w:t>the</w:t>
      </w:r>
      <w:r w:rsidRPr="005A62BD">
        <w:t xml:space="preserve"> indicators related to </w:t>
      </w:r>
      <w:r w:rsidR="008318E4" w:rsidRPr="005A62BD">
        <w:t>EU</w:t>
      </w:r>
      <w:r w:rsidRPr="005A62BD">
        <w:t xml:space="preserve">2020 strategic targets, which </w:t>
      </w:r>
      <w:r w:rsidR="008318E4" w:rsidRPr="005A62BD">
        <w:t>go</w:t>
      </w:r>
      <w:r w:rsidRPr="005A62BD">
        <w:t xml:space="preserve"> hand in hand with the </w:t>
      </w:r>
      <w:r w:rsidR="006B3D21" w:rsidRPr="005A62BD">
        <w:t xml:space="preserve">overall situation in Slovak society. </w:t>
      </w:r>
      <w:r w:rsidR="00AB10CE" w:rsidRPr="005A62BD">
        <w:t>At the same time, c</w:t>
      </w:r>
      <w:r w:rsidR="00C9580B" w:rsidRPr="005A62BD">
        <w:t xml:space="preserve">ompared to 2016 when several significant policy changes took place, 2017 has </w:t>
      </w:r>
      <w:r w:rsidR="00AB10CE" w:rsidRPr="005A62BD">
        <w:t xml:space="preserve">not brought as many policy developments. </w:t>
      </w:r>
      <w:r w:rsidR="008318E4" w:rsidRPr="005A62BD">
        <w:t>S</w:t>
      </w:r>
      <w:r w:rsidR="00C9580B" w:rsidRPr="005A62BD">
        <w:t xml:space="preserve">everal policy proposals </w:t>
      </w:r>
      <w:r w:rsidR="00AB10CE" w:rsidRPr="005A62BD">
        <w:t xml:space="preserve">are now </w:t>
      </w:r>
      <w:r w:rsidR="00C9580B" w:rsidRPr="005A62BD">
        <w:t>under the discussion, which have not come into force yet</w:t>
      </w:r>
      <w:r w:rsidR="00AB10CE" w:rsidRPr="005A62BD">
        <w:t xml:space="preserve">, especially the </w:t>
      </w:r>
      <w:r w:rsidR="00AB10CE" w:rsidRPr="005A62BD">
        <w:rPr>
          <w:i/>
        </w:rPr>
        <w:t>Action Plan on Transition from Sheltered Workshops to the Open Labour Market</w:t>
      </w:r>
      <w:r w:rsidR="00AB10CE" w:rsidRPr="005A62BD">
        <w:t xml:space="preserve">, and the </w:t>
      </w:r>
      <w:r w:rsidR="000600A4" w:rsidRPr="005A62BD">
        <w:t xml:space="preserve">significant </w:t>
      </w:r>
      <w:r w:rsidR="00AB10CE" w:rsidRPr="005A62BD">
        <w:t>amendment of the Act on Social Services</w:t>
      </w:r>
      <w:r w:rsidR="00C9580B" w:rsidRPr="005A62BD">
        <w:t>.</w:t>
      </w:r>
    </w:p>
    <w:p w14:paraId="7A073DCB" w14:textId="7FC419C7" w:rsidR="00C9580B" w:rsidRPr="005A62BD" w:rsidRDefault="00C9580B" w:rsidP="00D73FC4">
      <w:pPr>
        <w:spacing w:after="0"/>
        <w:jc w:val="both"/>
      </w:pPr>
    </w:p>
    <w:p w14:paraId="02DA8478" w14:textId="6DE7619C" w:rsidR="006C27F1" w:rsidRPr="005A62BD" w:rsidRDefault="008318E4" w:rsidP="00D73FC4">
      <w:pPr>
        <w:spacing w:after="0"/>
        <w:jc w:val="both"/>
      </w:pPr>
      <w:r w:rsidRPr="005A62BD">
        <w:t>A</w:t>
      </w:r>
      <w:r w:rsidR="0093366E" w:rsidRPr="005A62BD">
        <w:t>s stated in the Country Report: “</w:t>
      </w:r>
      <w:r w:rsidR="0093366E" w:rsidRPr="005A62BD">
        <w:rPr>
          <w:bCs/>
          <w:i/>
        </w:rPr>
        <w:t>Slovakia witnessed a marked improvement in its labour market in 2015 and 2016, not least due to strong job creation</w:t>
      </w:r>
      <w:r w:rsidR="0093366E" w:rsidRPr="005A62BD">
        <w:rPr>
          <w:bCs/>
        </w:rPr>
        <w:t>.</w:t>
      </w:r>
      <w:r w:rsidR="0093366E" w:rsidRPr="005A62BD">
        <w:t xml:space="preserve">” </w:t>
      </w:r>
      <w:r w:rsidRPr="005A62BD">
        <w:t>T</w:t>
      </w:r>
      <w:r w:rsidR="00311E44" w:rsidRPr="005A62BD">
        <w:t xml:space="preserve">he number of unemployed registered job-seekers with disabilities has decreased after a three-year period of increase. </w:t>
      </w:r>
      <w:r w:rsidRPr="005A62BD">
        <w:t>E</w:t>
      </w:r>
      <w:r w:rsidR="00EE3840" w:rsidRPr="005A62BD">
        <w:t>xpenditure on the active labour market measures for persons with disabilities has risen after several years of sharp decline, although</w:t>
      </w:r>
      <w:r w:rsidR="00105A56" w:rsidRPr="005A62BD">
        <w:t xml:space="preserve">, as stated in the Country Report, </w:t>
      </w:r>
      <w:r w:rsidR="002F3F54" w:rsidRPr="005A62BD">
        <w:t>insufficient financing for active labour market policies (0.16 % of GDP in 2015)</w:t>
      </w:r>
      <w:r w:rsidR="00EE3840" w:rsidRPr="005A62BD">
        <w:t xml:space="preserve"> remains challenging</w:t>
      </w:r>
      <w:r w:rsidR="00105A56" w:rsidRPr="005A62BD">
        <w:t xml:space="preserve"> for Slovakia</w:t>
      </w:r>
      <w:r w:rsidR="00EE3840" w:rsidRPr="005A62BD">
        <w:t xml:space="preserve">. </w:t>
      </w:r>
      <w:r w:rsidR="00A12CF6" w:rsidRPr="005A62BD">
        <w:t xml:space="preserve">Another positive development is that the call to support the transition of young people with disabilities into the labour market within the Youth Guarantee has finally been launched. </w:t>
      </w:r>
      <w:r w:rsidR="00CE2B7B" w:rsidRPr="005A62BD">
        <w:t xml:space="preserve">Preparation of the Action Plan on the Transition from Sheltered Workshops to the Open Labour Market seems also promising with regards to </w:t>
      </w:r>
      <w:r w:rsidR="00796511" w:rsidRPr="005A62BD">
        <w:t xml:space="preserve">better access of people with disabilities to the labour market. </w:t>
      </w:r>
      <w:r w:rsidR="00345F88" w:rsidRPr="005A62BD">
        <w:t xml:space="preserve">On the other hand, the employment rate of persons with disabilities </w:t>
      </w:r>
      <w:r w:rsidRPr="005A62BD">
        <w:t>remains</w:t>
      </w:r>
      <w:r w:rsidR="00345F88" w:rsidRPr="005A62BD">
        <w:t xml:space="preserve"> far below the employment rate of total population</w:t>
      </w:r>
      <w:r w:rsidR="004F74A1" w:rsidRPr="005A62BD">
        <w:t xml:space="preserve">, </w:t>
      </w:r>
      <w:r w:rsidR="00F173B7" w:rsidRPr="005A62BD">
        <w:t xml:space="preserve">and there still are difficulties in introducing individualised support to disabled job-seekers. </w:t>
      </w:r>
    </w:p>
    <w:p w14:paraId="23E73A95" w14:textId="77777777" w:rsidR="00137236" w:rsidRPr="005A62BD" w:rsidRDefault="00137236" w:rsidP="00D73FC4">
      <w:pPr>
        <w:spacing w:after="0"/>
        <w:jc w:val="both"/>
      </w:pPr>
    </w:p>
    <w:p w14:paraId="78BF21C5" w14:textId="0AA0AD2F" w:rsidR="005144FC" w:rsidRPr="005A62BD" w:rsidRDefault="005144FC" w:rsidP="00D73FC4">
      <w:pPr>
        <w:spacing w:after="0"/>
        <w:jc w:val="both"/>
      </w:pPr>
      <w:proofErr w:type="gramStart"/>
      <w:r w:rsidRPr="005A62BD">
        <w:t>In t</w:t>
      </w:r>
      <w:r w:rsidR="00AB2EF5" w:rsidRPr="005A62BD">
        <w:t>he area of</w:t>
      </w:r>
      <w:proofErr w:type="gramEnd"/>
      <w:r w:rsidR="00AB2EF5" w:rsidRPr="005A62BD">
        <w:t xml:space="preserve"> education there is a </w:t>
      </w:r>
      <w:r w:rsidRPr="005A62BD">
        <w:t xml:space="preserve">lack of data to </w:t>
      </w:r>
      <w:r w:rsidR="008318E4" w:rsidRPr="005A62BD">
        <w:t>assess</w:t>
      </w:r>
      <w:r w:rsidRPr="005A62BD">
        <w:t xml:space="preserve"> the dual education scheme from a disability perspective. It is worth mentioning that</w:t>
      </w:r>
      <w:r w:rsidR="008318E4" w:rsidRPr="005A62BD">
        <w:t>,</w:t>
      </w:r>
      <w:r w:rsidRPr="005A62BD">
        <w:t xml:space="preserve"> despite an increasing proportion of pupils with disabilities educated in mainstream schools compared to special schools, Slovak legislation does not recognise the term ‘inclusive education’ and there is no commitment within the RNDP to prepare a policy document on inclusive education</w:t>
      </w:r>
      <w:r w:rsidR="008D4BEA" w:rsidRPr="005A62BD">
        <w:t xml:space="preserve"> of children and pupils with disabilities</w:t>
      </w:r>
      <w:r w:rsidRPr="005A62BD">
        <w:t xml:space="preserve">. </w:t>
      </w:r>
    </w:p>
    <w:p w14:paraId="577F72E2" w14:textId="77777777" w:rsidR="00137236" w:rsidRPr="005A62BD" w:rsidRDefault="00137236" w:rsidP="00D73FC4">
      <w:pPr>
        <w:spacing w:after="0"/>
        <w:jc w:val="both"/>
      </w:pPr>
    </w:p>
    <w:p w14:paraId="4F672CBB" w14:textId="2D50970E" w:rsidR="005144FC" w:rsidRPr="005A62BD" w:rsidRDefault="005144FC" w:rsidP="00D73FC4">
      <w:pPr>
        <w:spacing w:after="0"/>
        <w:jc w:val="both"/>
      </w:pPr>
      <w:r w:rsidRPr="005A62BD">
        <w:t xml:space="preserve">Finally, </w:t>
      </w:r>
      <w:proofErr w:type="gramStart"/>
      <w:r w:rsidRPr="005A62BD">
        <w:t>in the area of</w:t>
      </w:r>
      <w:proofErr w:type="gramEnd"/>
      <w:r w:rsidRPr="005A62BD">
        <w:t xml:space="preserve"> social inclusion, there </w:t>
      </w:r>
      <w:r w:rsidR="008318E4" w:rsidRPr="005A62BD">
        <w:t>remains</w:t>
      </w:r>
      <w:r w:rsidRPr="005A62BD">
        <w:t xml:space="preserve"> a challenge concerning the process of deinstitutionalisation of long-term care social services. </w:t>
      </w:r>
      <w:proofErr w:type="gramStart"/>
      <w:r w:rsidRPr="005A62BD">
        <w:t>In particular, the</w:t>
      </w:r>
      <w:proofErr w:type="gramEnd"/>
      <w:r w:rsidRPr="005A62BD">
        <w:t xml:space="preserve"> process </w:t>
      </w:r>
      <w:r w:rsidR="008318E4" w:rsidRPr="005A62BD">
        <w:t>is</w:t>
      </w:r>
      <w:r w:rsidRPr="005A62BD">
        <w:t xml:space="preserve"> still project-based (and project funded) rather than systemic. </w:t>
      </w:r>
      <w:r w:rsidR="000600A4" w:rsidRPr="005A62BD">
        <w:t xml:space="preserve">Preparation for a </w:t>
      </w:r>
      <w:r w:rsidRPr="005A62BD">
        <w:t>new</w:t>
      </w:r>
      <w:r w:rsidR="000600A4" w:rsidRPr="005A62BD">
        <w:t xml:space="preserve"> deinstitutionalisation</w:t>
      </w:r>
      <w:r w:rsidRPr="005A62BD">
        <w:t xml:space="preserve"> project funded from the ESIF in the programming period 2014-2020 is </w:t>
      </w:r>
      <w:r w:rsidR="000600A4" w:rsidRPr="005A62BD">
        <w:t xml:space="preserve">only </w:t>
      </w:r>
      <w:r w:rsidR="008318E4" w:rsidRPr="005A62BD">
        <w:t xml:space="preserve">just </w:t>
      </w:r>
      <w:r w:rsidR="004C0F77" w:rsidRPr="005A62BD">
        <w:t>under finalisation</w:t>
      </w:r>
      <w:r w:rsidRPr="005A62BD">
        <w:t xml:space="preserve">, whereas the previous one has finished </w:t>
      </w:r>
      <w:r w:rsidR="004C0F77" w:rsidRPr="005A62BD">
        <w:t>in 2015</w:t>
      </w:r>
      <w:r w:rsidRPr="005A62BD">
        <w:t xml:space="preserve"> – at this stage there are no significant and systematic activities concerning deinstitutionalisation taking place in Slovakia. </w:t>
      </w:r>
      <w:r w:rsidR="00B87CC2" w:rsidRPr="005A62BD">
        <w:t>Some positive changes have occurred in informal car</w:t>
      </w:r>
      <w:r w:rsidR="00555B8D" w:rsidRPr="005A62BD">
        <w:t>e</w:t>
      </w:r>
      <w:r w:rsidR="00B87CC2" w:rsidRPr="005A62BD">
        <w:t xml:space="preserve"> support</w:t>
      </w:r>
      <w:r w:rsidR="008318E4" w:rsidRPr="005A62BD">
        <w:t xml:space="preserve">, with increases in </w:t>
      </w:r>
      <w:r w:rsidR="00B87CC2" w:rsidRPr="005A62BD">
        <w:t>the allowance for informal carers</w:t>
      </w:r>
      <w:r w:rsidR="008318E4" w:rsidRPr="005A62BD">
        <w:t xml:space="preserve"> and </w:t>
      </w:r>
      <w:r w:rsidR="00B87CC2" w:rsidRPr="005A62BD">
        <w:t xml:space="preserve">the safeguard income limit </w:t>
      </w:r>
      <w:r w:rsidR="008318E4" w:rsidRPr="005A62BD">
        <w:t>for</w:t>
      </w:r>
      <w:r w:rsidR="00B87CC2" w:rsidRPr="005A62BD">
        <w:t xml:space="preserve"> cared for persons in 2017. Moreover, with an aim to help young parents to reconcile their parenting and employment, </w:t>
      </w:r>
      <w:r w:rsidR="004C0F77" w:rsidRPr="005A62BD">
        <w:t xml:space="preserve">a </w:t>
      </w:r>
      <w:r w:rsidR="00B87CC2" w:rsidRPr="005A62BD">
        <w:t xml:space="preserve">new type of social service </w:t>
      </w:r>
      <w:r w:rsidR="004C0F77" w:rsidRPr="005A62BD">
        <w:t xml:space="preserve">titled </w:t>
      </w:r>
      <w:r w:rsidR="00FB4D3F" w:rsidRPr="005A62BD">
        <w:t>child</w:t>
      </w:r>
      <w:r w:rsidR="004C0F77" w:rsidRPr="005A62BD">
        <w:t>care</w:t>
      </w:r>
      <w:r w:rsidR="00FB4D3F" w:rsidRPr="005A62BD">
        <w:t xml:space="preserve"> </w:t>
      </w:r>
      <w:r w:rsidR="004C0F77" w:rsidRPr="005A62BD">
        <w:t>facility for a child under the age of three (regardless of having a disability or not), was legally introduced since March 2017.</w:t>
      </w:r>
    </w:p>
    <w:p w14:paraId="442BD99A" w14:textId="77777777" w:rsidR="001341CA" w:rsidRPr="005A62BD" w:rsidRDefault="001341CA" w:rsidP="005A62BD">
      <w:pPr>
        <w:pStyle w:val="Heading1"/>
      </w:pPr>
      <w:bookmarkStart w:id="2" w:name="_Toc499120867"/>
      <w:r w:rsidRPr="005A62BD">
        <w:lastRenderedPageBreak/>
        <w:t xml:space="preserve">Assessment of the situation </w:t>
      </w:r>
      <w:r w:rsidR="000D320A" w:rsidRPr="005A62BD">
        <w:t xml:space="preserve">of disabled people </w:t>
      </w:r>
      <w:r w:rsidRPr="005A62BD">
        <w:t>with respect to the Europe 2020 headline targets</w:t>
      </w:r>
      <w:bookmarkEnd w:id="2"/>
    </w:p>
    <w:p w14:paraId="6147B05A" w14:textId="77777777" w:rsidR="00AF323E" w:rsidRPr="005A62BD" w:rsidRDefault="00AF323E" w:rsidP="00AB2EF5">
      <w:pPr>
        <w:spacing w:after="0"/>
      </w:pPr>
    </w:p>
    <w:p w14:paraId="16454A82" w14:textId="467CA96B" w:rsidR="001341CA" w:rsidRPr="005A62BD" w:rsidRDefault="00EA2651" w:rsidP="008C17EE">
      <w:pPr>
        <w:pStyle w:val="Heading2"/>
      </w:pPr>
      <w:bookmarkStart w:id="3" w:name="_Toc499120868"/>
      <w:r w:rsidRPr="005A62BD">
        <w:t>Strategic</w:t>
      </w:r>
      <w:r w:rsidR="000D320A" w:rsidRPr="005A62BD">
        <w:t xml:space="preserve"> targets</w:t>
      </w:r>
      <w:bookmarkEnd w:id="3"/>
    </w:p>
    <w:p w14:paraId="7B482095" w14:textId="77777777" w:rsidR="00AF323E" w:rsidRPr="005A62BD" w:rsidRDefault="00AF323E" w:rsidP="00AB2EF5">
      <w:pPr>
        <w:spacing w:after="0"/>
      </w:pPr>
    </w:p>
    <w:p w14:paraId="1916FFA6" w14:textId="77777777" w:rsidR="00B12ADE" w:rsidRPr="005A62BD" w:rsidRDefault="00B12ADE" w:rsidP="00AB2EF5">
      <w:pPr>
        <w:pStyle w:val="Caption"/>
        <w:spacing w:after="0"/>
        <w:rPr>
          <w:sz w:val="24"/>
          <w:szCs w:val="24"/>
        </w:rPr>
      </w:pPr>
      <w:r w:rsidRPr="005A62BD">
        <w:rPr>
          <w:sz w:val="24"/>
          <w:szCs w:val="24"/>
        </w:rPr>
        <w:t xml:space="preserve">Table </w:t>
      </w:r>
      <w:r w:rsidR="0017541C" w:rsidRPr="005A62BD">
        <w:rPr>
          <w:sz w:val="24"/>
          <w:szCs w:val="24"/>
        </w:rPr>
        <w:fldChar w:fldCharType="begin"/>
      </w:r>
      <w:r w:rsidR="0017541C" w:rsidRPr="005A62BD">
        <w:rPr>
          <w:sz w:val="24"/>
          <w:szCs w:val="24"/>
        </w:rPr>
        <w:instrText xml:space="preserve"> SEQ Table \* ARABIC </w:instrText>
      </w:r>
      <w:r w:rsidR="0017541C" w:rsidRPr="005A62BD">
        <w:rPr>
          <w:sz w:val="24"/>
          <w:szCs w:val="24"/>
        </w:rPr>
        <w:fldChar w:fldCharType="separate"/>
      </w:r>
      <w:r w:rsidR="00727DF8">
        <w:rPr>
          <w:noProof/>
          <w:sz w:val="24"/>
          <w:szCs w:val="24"/>
        </w:rPr>
        <w:t>1</w:t>
      </w:r>
      <w:r w:rsidR="0017541C" w:rsidRPr="005A62BD">
        <w:rPr>
          <w:sz w:val="24"/>
          <w:szCs w:val="24"/>
        </w:rPr>
        <w:fldChar w:fldCharType="end"/>
      </w:r>
      <w:r w:rsidRPr="005A62BD">
        <w:rPr>
          <w:sz w:val="24"/>
          <w:szCs w:val="24"/>
        </w:rPr>
        <w:t xml:space="preserve">: Europe 2020 and </w:t>
      </w:r>
      <w:r w:rsidR="00EA2651" w:rsidRPr="005A62BD">
        <w:rPr>
          <w:sz w:val="24"/>
          <w:szCs w:val="24"/>
        </w:rPr>
        <w:t xml:space="preserve">agreed </w:t>
      </w:r>
      <w:r w:rsidRPr="005A62BD">
        <w:rPr>
          <w:sz w:val="24"/>
          <w:szCs w:val="24"/>
        </w:rPr>
        <w:t>national targets</w:t>
      </w:r>
      <w:r w:rsidR="00DC521C" w:rsidRPr="005A62BD">
        <w:rPr>
          <w:sz w:val="24"/>
          <w:szCs w:val="24"/>
        </w:rP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4"/>
      </w:tblGrid>
      <w:tr w:rsidR="00B12ADE" w:rsidRPr="005A62BD" w14:paraId="74F7A44A" w14:textId="77777777" w:rsidTr="00082180">
        <w:tc>
          <w:tcPr>
            <w:tcW w:w="1667" w:type="pct"/>
            <w:shd w:val="clear" w:color="auto" w:fill="auto"/>
          </w:tcPr>
          <w:p w14:paraId="225A3F2D" w14:textId="77777777" w:rsidR="00B12ADE" w:rsidRPr="005A62BD" w:rsidRDefault="00B12ADE" w:rsidP="00AB2EF5">
            <w:pPr>
              <w:spacing w:after="0"/>
            </w:pPr>
          </w:p>
        </w:tc>
        <w:tc>
          <w:tcPr>
            <w:tcW w:w="1667" w:type="pct"/>
            <w:shd w:val="clear" w:color="auto" w:fill="auto"/>
            <w:vAlign w:val="center"/>
          </w:tcPr>
          <w:p w14:paraId="7B3659D7" w14:textId="77777777" w:rsidR="00B12ADE" w:rsidRPr="005A62BD" w:rsidRDefault="00B12ADE" w:rsidP="00AB2EF5">
            <w:pPr>
              <w:spacing w:after="0"/>
            </w:pPr>
            <w:r w:rsidRPr="005A62BD">
              <w:t>Europe 2020 targets</w:t>
            </w:r>
          </w:p>
        </w:tc>
        <w:tc>
          <w:tcPr>
            <w:tcW w:w="1666" w:type="pct"/>
            <w:shd w:val="clear" w:color="auto" w:fill="auto"/>
            <w:vAlign w:val="center"/>
          </w:tcPr>
          <w:p w14:paraId="6F218BA8" w14:textId="77777777" w:rsidR="00B12ADE" w:rsidRPr="005A62BD" w:rsidRDefault="00B12ADE" w:rsidP="00AB2EF5">
            <w:pPr>
              <w:spacing w:after="0"/>
            </w:pPr>
            <w:r w:rsidRPr="005A62BD">
              <w:t>National targets</w:t>
            </w:r>
            <w:r w:rsidR="00DC521C" w:rsidRPr="003B54BB">
              <w:rPr>
                <w:rStyle w:val="FootnoteReference"/>
                <w:bCs/>
              </w:rPr>
              <w:footnoteReference w:id="2"/>
            </w:r>
          </w:p>
        </w:tc>
      </w:tr>
      <w:tr w:rsidR="00B12ADE" w:rsidRPr="005A62BD" w14:paraId="3D4D9CAA" w14:textId="77777777" w:rsidTr="00082180">
        <w:tc>
          <w:tcPr>
            <w:tcW w:w="1667" w:type="pct"/>
            <w:shd w:val="clear" w:color="auto" w:fill="auto"/>
            <w:vAlign w:val="center"/>
          </w:tcPr>
          <w:p w14:paraId="5B669940" w14:textId="77777777" w:rsidR="00B12ADE" w:rsidRPr="005A62BD" w:rsidRDefault="00B12ADE" w:rsidP="00AB2EF5">
            <w:pPr>
              <w:spacing w:after="0"/>
            </w:pPr>
            <w:r w:rsidRPr="005A62BD">
              <w:t>Employment</w:t>
            </w:r>
          </w:p>
        </w:tc>
        <w:tc>
          <w:tcPr>
            <w:tcW w:w="1667" w:type="pct"/>
            <w:shd w:val="clear" w:color="auto" w:fill="auto"/>
            <w:vAlign w:val="center"/>
          </w:tcPr>
          <w:p w14:paraId="0A121B86" w14:textId="77777777" w:rsidR="00B12ADE" w:rsidRPr="005A62BD" w:rsidRDefault="00B12ADE" w:rsidP="00AB2EF5">
            <w:pPr>
              <w:spacing w:after="0"/>
            </w:pPr>
            <w:r w:rsidRPr="005A62BD">
              <w:t xml:space="preserve">75% of the </w:t>
            </w:r>
            <w:proofErr w:type="gramStart"/>
            <w:r w:rsidRPr="005A62BD">
              <w:t>20-64 year-olds</w:t>
            </w:r>
            <w:proofErr w:type="gramEnd"/>
            <w:r w:rsidRPr="005A62BD">
              <w:t xml:space="preserve"> to be employed</w:t>
            </w:r>
          </w:p>
        </w:tc>
        <w:tc>
          <w:tcPr>
            <w:tcW w:w="1666" w:type="pct"/>
            <w:shd w:val="clear" w:color="auto" w:fill="auto"/>
            <w:vAlign w:val="center"/>
          </w:tcPr>
          <w:p w14:paraId="73B68D0A" w14:textId="77777777" w:rsidR="00B12ADE" w:rsidRPr="005A62BD" w:rsidRDefault="00211FBF" w:rsidP="00AB2EF5">
            <w:pPr>
              <w:spacing w:after="0"/>
            </w:pPr>
            <w:r w:rsidRPr="005A62BD">
              <w:t>72%</w:t>
            </w:r>
          </w:p>
        </w:tc>
      </w:tr>
      <w:tr w:rsidR="00B12ADE" w:rsidRPr="005A62BD" w14:paraId="4EF64CF2" w14:textId="77777777" w:rsidTr="00082180">
        <w:tc>
          <w:tcPr>
            <w:tcW w:w="1667" w:type="pct"/>
            <w:vMerge w:val="restart"/>
            <w:shd w:val="clear" w:color="auto" w:fill="auto"/>
            <w:vAlign w:val="center"/>
          </w:tcPr>
          <w:p w14:paraId="657FEC1D" w14:textId="77777777" w:rsidR="00B12ADE" w:rsidRPr="005A62BD" w:rsidRDefault="00B12ADE" w:rsidP="00AB2EF5">
            <w:pPr>
              <w:spacing w:after="0"/>
            </w:pPr>
            <w:r w:rsidRPr="005A62BD">
              <w:t>Education</w:t>
            </w:r>
          </w:p>
        </w:tc>
        <w:tc>
          <w:tcPr>
            <w:tcW w:w="1667" w:type="pct"/>
            <w:shd w:val="clear" w:color="auto" w:fill="auto"/>
            <w:vAlign w:val="center"/>
          </w:tcPr>
          <w:p w14:paraId="779203E0" w14:textId="77777777" w:rsidR="00B12ADE" w:rsidRPr="005A62BD" w:rsidRDefault="00B12ADE" w:rsidP="00AB2EF5">
            <w:pPr>
              <w:spacing w:after="0"/>
            </w:pPr>
            <w:r w:rsidRPr="005A62BD">
              <w:t>Reducing the rates of early school leaving below 10%</w:t>
            </w:r>
          </w:p>
        </w:tc>
        <w:tc>
          <w:tcPr>
            <w:tcW w:w="1666" w:type="pct"/>
            <w:shd w:val="clear" w:color="auto" w:fill="auto"/>
            <w:vAlign w:val="center"/>
          </w:tcPr>
          <w:p w14:paraId="37ABA56E" w14:textId="77777777" w:rsidR="00B12ADE" w:rsidRPr="005A62BD" w:rsidRDefault="00211FBF" w:rsidP="00AB2EF5">
            <w:pPr>
              <w:spacing w:after="0"/>
            </w:pPr>
            <w:r w:rsidRPr="005A62BD">
              <w:t>6%</w:t>
            </w:r>
          </w:p>
        </w:tc>
      </w:tr>
      <w:tr w:rsidR="00B12ADE" w:rsidRPr="005A62BD" w14:paraId="45859352" w14:textId="77777777" w:rsidTr="00082180">
        <w:tc>
          <w:tcPr>
            <w:tcW w:w="1667" w:type="pct"/>
            <w:vMerge/>
            <w:shd w:val="clear" w:color="auto" w:fill="auto"/>
            <w:vAlign w:val="center"/>
          </w:tcPr>
          <w:p w14:paraId="59F2AD8A" w14:textId="77777777" w:rsidR="00B12ADE" w:rsidRPr="005A62BD" w:rsidRDefault="00B12ADE" w:rsidP="00AB2EF5">
            <w:pPr>
              <w:spacing w:after="0"/>
            </w:pPr>
          </w:p>
        </w:tc>
        <w:tc>
          <w:tcPr>
            <w:tcW w:w="1667" w:type="pct"/>
            <w:shd w:val="clear" w:color="auto" w:fill="auto"/>
            <w:vAlign w:val="center"/>
          </w:tcPr>
          <w:p w14:paraId="4DF867DD" w14:textId="77777777" w:rsidR="00B12ADE" w:rsidRPr="005A62BD" w:rsidRDefault="00B12ADE" w:rsidP="00AB2EF5">
            <w:pPr>
              <w:spacing w:after="0"/>
            </w:pPr>
            <w:r w:rsidRPr="005A62BD">
              <w:t>At least 40% of 30-34–year-olds completing third level education</w:t>
            </w:r>
          </w:p>
        </w:tc>
        <w:tc>
          <w:tcPr>
            <w:tcW w:w="1666" w:type="pct"/>
            <w:shd w:val="clear" w:color="auto" w:fill="auto"/>
            <w:vAlign w:val="center"/>
          </w:tcPr>
          <w:p w14:paraId="4DB5763B" w14:textId="77777777" w:rsidR="00B12ADE" w:rsidRPr="005A62BD" w:rsidRDefault="00211FBF" w:rsidP="00AB2EF5">
            <w:pPr>
              <w:spacing w:after="0"/>
            </w:pPr>
            <w:r w:rsidRPr="005A62BD">
              <w:t>40%</w:t>
            </w:r>
          </w:p>
        </w:tc>
      </w:tr>
      <w:tr w:rsidR="00B12ADE" w:rsidRPr="005A62BD" w14:paraId="20B0DEC6" w14:textId="77777777" w:rsidTr="00082180">
        <w:tc>
          <w:tcPr>
            <w:tcW w:w="1667" w:type="pct"/>
            <w:shd w:val="clear" w:color="auto" w:fill="auto"/>
            <w:vAlign w:val="center"/>
          </w:tcPr>
          <w:p w14:paraId="30717B1F" w14:textId="77777777" w:rsidR="00B12ADE" w:rsidRPr="005A62BD" w:rsidRDefault="00B12ADE" w:rsidP="00AB2EF5">
            <w:pPr>
              <w:spacing w:after="0"/>
            </w:pPr>
            <w:r w:rsidRPr="005A62BD">
              <w:t>Fighting poverty and social exclusion</w:t>
            </w:r>
          </w:p>
        </w:tc>
        <w:tc>
          <w:tcPr>
            <w:tcW w:w="1667" w:type="pct"/>
            <w:shd w:val="clear" w:color="auto" w:fill="auto"/>
            <w:vAlign w:val="center"/>
          </w:tcPr>
          <w:p w14:paraId="0C8D0EEF" w14:textId="77777777" w:rsidR="00B12ADE" w:rsidRPr="005A62BD" w:rsidRDefault="00B12ADE" w:rsidP="00AB2EF5">
            <w:pPr>
              <w:spacing w:after="0"/>
            </w:pPr>
            <w:r w:rsidRPr="005A62BD">
              <w:t>At least 20 million fewer people in or at risk of poverty and social exclusion</w:t>
            </w:r>
          </w:p>
        </w:tc>
        <w:tc>
          <w:tcPr>
            <w:tcW w:w="1666" w:type="pct"/>
            <w:shd w:val="clear" w:color="auto" w:fill="auto"/>
            <w:vAlign w:val="center"/>
          </w:tcPr>
          <w:p w14:paraId="1A82A2EB" w14:textId="77777777" w:rsidR="00B12ADE" w:rsidRPr="005A62BD" w:rsidRDefault="00211FBF" w:rsidP="00AB2EF5">
            <w:pPr>
              <w:spacing w:after="0"/>
            </w:pPr>
            <w:r w:rsidRPr="005A62BD">
              <w:t>170,000</w:t>
            </w:r>
          </w:p>
        </w:tc>
      </w:tr>
    </w:tbl>
    <w:p w14:paraId="3C5F1DC2" w14:textId="77777777" w:rsidR="00C7318C" w:rsidRPr="005A62BD" w:rsidRDefault="00C7318C" w:rsidP="00D73FC4">
      <w:pPr>
        <w:spacing w:after="0"/>
        <w:jc w:val="both"/>
      </w:pPr>
    </w:p>
    <w:p w14:paraId="28056E6D" w14:textId="77777777" w:rsidR="000336BD" w:rsidRPr="005A62BD" w:rsidRDefault="00C13B17" w:rsidP="00D73FC4">
      <w:pPr>
        <w:pStyle w:val="Un-numberedsubheading"/>
        <w:spacing w:after="0"/>
        <w:jc w:val="both"/>
      </w:pPr>
      <w:r w:rsidRPr="005A62BD">
        <w:t>R</w:t>
      </w:r>
      <w:r w:rsidR="00A01CD2" w:rsidRPr="005A62BD">
        <w:t>elevant</w:t>
      </w:r>
      <w:r w:rsidR="00DC521C" w:rsidRPr="005A62BD">
        <w:t xml:space="preserve"> </w:t>
      </w:r>
      <w:r w:rsidR="000336BD" w:rsidRPr="005A62BD">
        <w:t>disability</w:t>
      </w:r>
      <w:r w:rsidR="004E5CCD" w:rsidRPr="005A62BD">
        <w:t xml:space="preserve"> </w:t>
      </w:r>
      <w:r w:rsidR="000336BD" w:rsidRPr="005A62BD">
        <w:t>ta</w:t>
      </w:r>
      <w:r w:rsidR="000336BD" w:rsidRPr="005A62BD">
        <w:rPr>
          <w:rStyle w:val="Un-numberedsubheadingChar"/>
          <w:b/>
        </w:rPr>
        <w:t>r</w:t>
      </w:r>
      <w:r w:rsidR="000336BD" w:rsidRPr="005A62BD">
        <w:t>gets</w:t>
      </w:r>
      <w:r w:rsidR="00DC521C" w:rsidRPr="005A62BD">
        <w:t xml:space="preserve"> from national </w:t>
      </w:r>
      <w:r w:rsidR="005E1C80" w:rsidRPr="005A62BD">
        <w:t xml:space="preserve">strategies or </w:t>
      </w:r>
      <w:r w:rsidR="00DC521C" w:rsidRPr="005A62BD">
        <w:t>sources</w:t>
      </w:r>
      <w:r w:rsidR="000336BD" w:rsidRPr="005A62BD">
        <w:t>:</w:t>
      </w:r>
    </w:p>
    <w:p w14:paraId="736A01FE" w14:textId="77777777" w:rsidR="0017541C" w:rsidRPr="005A62BD" w:rsidRDefault="0017541C" w:rsidP="00D73FC4">
      <w:pPr>
        <w:pStyle w:val="Un-numberedsubheading"/>
        <w:spacing w:after="0"/>
        <w:jc w:val="both"/>
      </w:pPr>
    </w:p>
    <w:p w14:paraId="44DB6888" w14:textId="07BFBC8C" w:rsidR="0017541C" w:rsidRPr="005A62BD" w:rsidRDefault="00805BFA" w:rsidP="00D73FC4">
      <w:pPr>
        <w:spacing w:after="0"/>
        <w:jc w:val="both"/>
      </w:pPr>
      <w:r w:rsidRPr="005A62BD">
        <w:t xml:space="preserve">There are disability related </w:t>
      </w:r>
      <w:r w:rsidR="002255B2" w:rsidRPr="005A62BD">
        <w:t xml:space="preserve">objectives </w:t>
      </w:r>
      <w:r w:rsidRPr="005A62BD">
        <w:t>in the</w:t>
      </w:r>
      <w:r w:rsidR="00BC0BBA" w:rsidRPr="005A62BD">
        <w:t xml:space="preserve"> </w:t>
      </w:r>
      <w:r w:rsidR="00BC0BBA" w:rsidRPr="005A62BD">
        <w:rPr>
          <w:i/>
        </w:rPr>
        <w:t xml:space="preserve">National Program on Improvement of Living Conditions for Persons with Disabilities for years 2014-2020 </w:t>
      </w:r>
      <w:r w:rsidR="00BC0BBA" w:rsidRPr="005A62BD">
        <w:t>(</w:t>
      </w:r>
      <w:proofErr w:type="spellStart"/>
      <w:r w:rsidR="00BC0BBA" w:rsidRPr="005A62BD">
        <w:t>Národný</w:t>
      </w:r>
      <w:proofErr w:type="spellEnd"/>
      <w:r w:rsidR="00BC0BBA" w:rsidRPr="005A62BD">
        <w:t xml:space="preserve"> program </w:t>
      </w:r>
      <w:proofErr w:type="spellStart"/>
      <w:r w:rsidR="00BC0BBA" w:rsidRPr="005A62BD">
        <w:t>rozvoja</w:t>
      </w:r>
      <w:proofErr w:type="spellEnd"/>
      <w:r w:rsidR="00BC0BBA" w:rsidRPr="005A62BD">
        <w:t xml:space="preserve"> </w:t>
      </w:r>
      <w:proofErr w:type="spellStart"/>
      <w:r w:rsidR="00BC0BBA" w:rsidRPr="005A62BD">
        <w:t>životných</w:t>
      </w:r>
      <w:proofErr w:type="spellEnd"/>
      <w:r w:rsidR="00BC0BBA" w:rsidRPr="005A62BD">
        <w:t xml:space="preserve"> </w:t>
      </w:r>
      <w:proofErr w:type="spellStart"/>
      <w:r w:rsidR="00BC0BBA" w:rsidRPr="005A62BD">
        <w:t>podmienok</w:t>
      </w:r>
      <w:proofErr w:type="spellEnd"/>
      <w:r w:rsidR="00BC0BBA" w:rsidRPr="005A62BD">
        <w:t xml:space="preserve"> </w:t>
      </w:r>
      <w:proofErr w:type="spellStart"/>
      <w:r w:rsidR="00BC0BBA" w:rsidRPr="005A62BD">
        <w:t>osôb</w:t>
      </w:r>
      <w:proofErr w:type="spellEnd"/>
      <w:r w:rsidR="00BC0BBA" w:rsidRPr="005A62BD">
        <w:t xml:space="preserve"> so </w:t>
      </w:r>
      <w:proofErr w:type="spellStart"/>
      <w:r w:rsidR="00BC0BBA" w:rsidRPr="005A62BD">
        <w:t>zdravotným</w:t>
      </w:r>
      <w:proofErr w:type="spellEnd"/>
      <w:r w:rsidR="0017541C" w:rsidRPr="005A62BD">
        <w:t xml:space="preserve"> </w:t>
      </w:r>
      <w:proofErr w:type="spellStart"/>
      <w:r w:rsidR="0017541C" w:rsidRPr="005A62BD">
        <w:t>postihnutím</w:t>
      </w:r>
      <w:proofErr w:type="spellEnd"/>
      <w:r w:rsidR="0017541C" w:rsidRPr="005A62BD">
        <w:t xml:space="preserve"> </w:t>
      </w:r>
      <w:proofErr w:type="spellStart"/>
      <w:r w:rsidR="0017541C" w:rsidRPr="005A62BD">
        <w:t>na</w:t>
      </w:r>
      <w:proofErr w:type="spellEnd"/>
      <w:r w:rsidR="0017541C" w:rsidRPr="005A62BD">
        <w:t xml:space="preserve"> </w:t>
      </w:r>
      <w:proofErr w:type="spellStart"/>
      <w:r w:rsidR="0017541C" w:rsidRPr="005A62BD">
        <w:t>roky</w:t>
      </w:r>
      <w:proofErr w:type="spellEnd"/>
      <w:r w:rsidR="0017541C" w:rsidRPr="005A62BD">
        <w:t xml:space="preserve"> 2014-2020;</w:t>
      </w:r>
    </w:p>
    <w:p w14:paraId="3045FB9B" w14:textId="67F0D4CD" w:rsidR="00805BFA" w:rsidRPr="005A62BD" w:rsidRDefault="0017541C" w:rsidP="00D73FC4">
      <w:pPr>
        <w:spacing w:after="0"/>
        <w:jc w:val="both"/>
      </w:pPr>
      <w:r w:rsidRPr="005A62BD">
        <w:t xml:space="preserve">hereinafter </w:t>
      </w:r>
      <w:r w:rsidR="00BC0BBA" w:rsidRPr="005A62BD">
        <w:t>‘National Disability Program’)</w:t>
      </w:r>
      <w:r w:rsidR="00DD1E5A" w:rsidRPr="005A62BD">
        <w:t>,</w:t>
      </w:r>
      <w:r w:rsidR="00BC0BBA" w:rsidRPr="005A62BD">
        <w:rPr>
          <w:rStyle w:val="FootnoteReference"/>
        </w:rPr>
        <w:footnoteReference w:id="3"/>
      </w:r>
      <w:r w:rsidR="00D47BAE" w:rsidRPr="005A62BD">
        <w:t xml:space="preserve"> </w:t>
      </w:r>
      <w:r w:rsidR="00805BFA" w:rsidRPr="005A62BD">
        <w:t>although they are not quantifiable</w:t>
      </w:r>
      <w:r w:rsidR="002255B2" w:rsidRPr="005A62BD">
        <w:t xml:space="preserve"> as targets</w:t>
      </w:r>
      <w:r w:rsidR="00805BFA" w:rsidRPr="005A62BD">
        <w:t xml:space="preserve">: </w:t>
      </w:r>
    </w:p>
    <w:p w14:paraId="07D226C1" w14:textId="77777777" w:rsidR="0017541C" w:rsidRPr="005A62BD" w:rsidRDefault="0017541C" w:rsidP="00D73FC4">
      <w:pPr>
        <w:spacing w:after="0"/>
        <w:jc w:val="both"/>
      </w:pPr>
    </w:p>
    <w:p w14:paraId="24256B7E" w14:textId="77777777" w:rsidR="00DC301A" w:rsidRPr="005A62BD" w:rsidRDefault="00DC301A" w:rsidP="00D73FC4">
      <w:pPr>
        <w:pStyle w:val="Un-numberedsubheading"/>
        <w:numPr>
          <w:ilvl w:val="0"/>
          <w:numId w:val="18"/>
        </w:numPr>
        <w:spacing w:after="0"/>
        <w:ind w:left="567" w:hanging="567"/>
        <w:jc w:val="both"/>
        <w:rPr>
          <w:rFonts w:eastAsiaTheme="minorHAnsi"/>
          <w:b w:val="0"/>
        </w:rPr>
      </w:pPr>
      <w:r w:rsidRPr="005A62BD">
        <w:rPr>
          <w:rFonts w:eastAsiaTheme="minorHAnsi"/>
          <w:b w:val="0"/>
        </w:rPr>
        <w:t xml:space="preserve">to ensure within the ALMP the inclusion of people with disabilities in the labour market especially by increasing the accessibility and availability of public employment services and counselling, as well as pay more attention to the employment of people with disabilities in an open labour market. </w:t>
      </w:r>
    </w:p>
    <w:p w14:paraId="4A998F26" w14:textId="77777777" w:rsidR="007065B8" w:rsidRPr="005A62BD" w:rsidRDefault="007065B8" w:rsidP="00D73FC4">
      <w:pPr>
        <w:pStyle w:val="Un-numberedsubheading"/>
        <w:numPr>
          <w:ilvl w:val="0"/>
          <w:numId w:val="18"/>
        </w:numPr>
        <w:spacing w:after="0"/>
        <w:ind w:left="567" w:hanging="567"/>
        <w:jc w:val="both"/>
        <w:rPr>
          <w:b w:val="0"/>
        </w:rPr>
      </w:pPr>
      <w:r w:rsidRPr="005A62BD">
        <w:rPr>
          <w:b w:val="0"/>
        </w:rPr>
        <w:t xml:space="preserve">To ensure for persons with disabilities the right on education without discrimination and </w:t>
      </w:r>
      <w:proofErr w:type="gramStart"/>
      <w:r w:rsidRPr="005A62BD">
        <w:rPr>
          <w:b w:val="0"/>
        </w:rPr>
        <w:t>on the basis of</w:t>
      </w:r>
      <w:proofErr w:type="gramEnd"/>
      <w:r w:rsidRPr="005A62BD">
        <w:rPr>
          <w:b w:val="0"/>
        </w:rPr>
        <w:t xml:space="preserve"> equal opportunities to set inclusive education system at all levels including lifelong learning.</w:t>
      </w:r>
    </w:p>
    <w:p w14:paraId="00157E80" w14:textId="77777777" w:rsidR="00C26CF9" w:rsidRPr="005A62BD" w:rsidRDefault="00C26CF9" w:rsidP="00D73FC4">
      <w:pPr>
        <w:pStyle w:val="Un-numberedsubheading"/>
        <w:numPr>
          <w:ilvl w:val="0"/>
          <w:numId w:val="18"/>
        </w:numPr>
        <w:spacing w:after="0"/>
        <w:ind w:left="567" w:hanging="567"/>
        <w:jc w:val="both"/>
        <w:rPr>
          <w:b w:val="0"/>
        </w:rPr>
      </w:pPr>
      <w:r w:rsidRPr="005A62BD">
        <w:rPr>
          <w:b w:val="0"/>
        </w:rPr>
        <w:t>To ensure appropriate living standards and social protection of persons with disabilities (e.g. accessible and barrier-free housing</w:t>
      </w:r>
      <w:r w:rsidR="00466B9E" w:rsidRPr="005A62BD">
        <w:rPr>
          <w:b w:val="0"/>
        </w:rPr>
        <w:t>)</w:t>
      </w:r>
      <w:r w:rsidRPr="005A62BD">
        <w:rPr>
          <w:b w:val="0"/>
        </w:rPr>
        <w:t>.</w:t>
      </w:r>
    </w:p>
    <w:p w14:paraId="53A291DF" w14:textId="77777777" w:rsidR="00503F97" w:rsidRPr="005A62BD" w:rsidRDefault="00503F97" w:rsidP="00D73FC4">
      <w:pPr>
        <w:pStyle w:val="Un-numberedsubheading"/>
        <w:spacing w:after="0"/>
        <w:jc w:val="both"/>
      </w:pPr>
    </w:p>
    <w:p w14:paraId="1EC2F9A6" w14:textId="6F6977D0" w:rsidR="005C75D8" w:rsidRPr="009E13D0" w:rsidRDefault="009E13D0" w:rsidP="00D73FC4">
      <w:pPr>
        <w:pStyle w:val="Heading3"/>
        <w:numPr>
          <w:ilvl w:val="0"/>
          <w:numId w:val="0"/>
        </w:numPr>
        <w:ind w:left="426" w:hanging="426"/>
        <w:jc w:val="both"/>
      </w:pPr>
      <w:bookmarkStart w:id="4" w:name="_Toc499120869"/>
      <w:r w:rsidRPr="009E13D0">
        <w:t>2.1.1</w:t>
      </w:r>
      <w:r w:rsidRPr="009E13D0">
        <w:tab/>
      </w:r>
      <w:r w:rsidR="005C75D8" w:rsidRPr="009E13D0">
        <w:t xml:space="preserve">A note on </w:t>
      </w:r>
      <w:r w:rsidR="00092B8F" w:rsidRPr="009E13D0">
        <w:t xml:space="preserve">the use of </w:t>
      </w:r>
      <w:r w:rsidR="002E420B" w:rsidRPr="009E13D0">
        <w:t>EU</w:t>
      </w:r>
      <w:r w:rsidR="00092B8F" w:rsidRPr="009E13D0">
        <w:t xml:space="preserve"> </w:t>
      </w:r>
      <w:r w:rsidR="005C75D8" w:rsidRPr="009E13D0">
        <w:t>data</w:t>
      </w:r>
      <w:bookmarkEnd w:id="4"/>
    </w:p>
    <w:p w14:paraId="38F00A0E" w14:textId="77777777" w:rsidR="0017541C" w:rsidRPr="005A62BD" w:rsidRDefault="0017541C" w:rsidP="00D73FC4">
      <w:pPr>
        <w:spacing w:after="0"/>
        <w:jc w:val="both"/>
      </w:pPr>
    </w:p>
    <w:p w14:paraId="577DFAC7" w14:textId="218E21E0" w:rsidR="00140EA1" w:rsidRPr="005A62BD" w:rsidRDefault="00140EA1" w:rsidP="00D73FC4">
      <w:pPr>
        <w:pStyle w:val="BodyText"/>
        <w:spacing w:after="0"/>
        <w:jc w:val="both"/>
      </w:pPr>
      <w:r w:rsidRPr="005A62BD">
        <w:t>Unless specified, the summary statistics presented in this report are drawn from 2015 EU-SILC micro data.</w:t>
      </w:r>
      <w:r w:rsidRPr="005A62BD">
        <w:rPr>
          <w:rStyle w:val="FootnoteReference"/>
        </w:rPr>
        <w:footnoteReference w:id="4"/>
      </w:r>
      <w:r w:rsidRPr="005A62BD">
        <w:t xml:space="preserve"> The EU-SILC sample includes people living in private households and does not include people living in institutions. The proxy used to identify people with disabilities (impairments) is whether ‘for at least the past 6 </w:t>
      </w:r>
      <w:r w:rsidRPr="005A62BD">
        <w:lastRenderedPageBreak/>
        <w:t xml:space="preserve">months’ the respondent reports that </w:t>
      </w:r>
      <w:r w:rsidR="007E4663" w:rsidRPr="005A62BD">
        <w:t>he/she</w:t>
      </w:r>
      <w:r w:rsidRPr="005A62BD">
        <w:t xml:space="preserve"> ha</w:t>
      </w:r>
      <w:r w:rsidR="007E4663" w:rsidRPr="005A62BD">
        <w:t>s</w:t>
      </w:r>
      <w:r w:rsidRPr="005A62BD">
        <w:t xml:space="preserve"> been ‘limited because of a health problem in activities people usually do’.</w:t>
      </w:r>
      <w:r w:rsidRPr="005A62BD">
        <w:rPr>
          <w:rStyle w:val="FootnoteReference"/>
        </w:rPr>
        <w:footnoteReference w:id="5"/>
      </w:r>
      <w:r w:rsidRPr="005A62BD">
        <w:t xml:space="preserve"> Responses to this question vary between countries and national data sources are added for comparison, where available.</w:t>
      </w:r>
    </w:p>
    <w:p w14:paraId="470591C8" w14:textId="77777777" w:rsidR="003B54BB" w:rsidRDefault="003B54BB" w:rsidP="00D73FC4">
      <w:pPr>
        <w:pStyle w:val="BodyText"/>
        <w:spacing w:after="0"/>
        <w:jc w:val="both"/>
      </w:pPr>
    </w:p>
    <w:p w14:paraId="170A79F0" w14:textId="35A99D55" w:rsidR="00140EA1" w:rsidRPr="005A62BD" w:rsidRDefault="00140EA1" w:rsidP="00D73FC4">
      <w:pPr>
        <w:pStyle w:val="BodyText"/>
        <w:spacing w:after="0"/>
        <w:jc w:val="both"/>
      </w:pPr>
      <w:r w:rsidRPr="005A62BD">
        <w:t>In 2015 there was a break in the German data (with significantly reduced prevalence estimates). As Germany is a very large country, this affected both the German national indicators and EU average indicators for this year. For example, the EU28 average disability prevalence indicator decreased between 2014 and 2015 but increased, as in previous years, if Germany is excluded. A similar trend is evident for the EU average employment rate of persons.</w:t>
      </w:r>
    </w:p>
    <w:p w14:paraId="07F4B745" w14:textId="77777777" w:rsidR="00140EA1" w:rsidRPr="005A62BD" w:rsidRDefault="00140EA1" w:rsidP="00AB2EF5">
      <w:pPr>
        <w:pStyle w:val="BodyText"/>
        <w:spacing w:after="0"/>
      </w:pPr>
    </w:p>
    <w:p w14:paraId="522785B1" w14:textId="77777777" w:rsidR="00140EA1" w:rsidRPr="005A62BD" w:rsidRDefault="00140EA1" w:rsidP="00AB2EF5">
      <w:pPr>
        <w:pStyle w:val="Caption"/>
        <w:keepNext/>
        <w:keepLines/>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2</w:t>
      </w:r>
      <w:r w:rsidR="00AB2EF5" w:rsidRPr="005A62BD">
        <w:rPr>
          <w:noProof/>
          <w:sz w:val="24"/>
          <w:szCs w:val="24"/>
        </w:rPr>
        <w:fldChar w:fldCharType="end"/>
      </w:r>
      <w:r w:rsidRPr="005A62BD">
        <w:rPr>
          <w:sz w:val="24"/>
          <w:szCs w:val="24"/>
        </w:rPr>
        <w:t>: Self-reported ‘activity limitations’ as a proxy for impairment/disability (EU-SILC 2015)</w:t>
      </w:r>
    </w:p>
    <w:p w14:paraId="5140B6E9" w14:textId="77777777" w:rsidR="00140EA1" w:rsidRPr="005A62BD" w:rsidRDefault="00140EA1" w:rsidP="00AB2EF5">
      <w:pPr>
        <w:keepNext/>
        <w:keepLines/>
        <w:spacing w:after="0"/>
      </w:pPr>
      <w:r w:rsidRPr="005A62BD">
        <w:rPr>
          <w:noProof/>
          <w:lang w:eastAsia="zh-CN"/>
        </w:rPr>
        <w:drawing>
          <wp:inline distT="0" distB="0" distL="0" distR="0" wp14:anchorId="124B3094" wp14:editId="793CB02C">
            <wp:extent cx="5583044" cy="4222595"/>
            <wp:effectExtent l="0" t="0" r="0" b="698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B5D9CB" w14:textId="77777777" w:rsidR="00140EA1" w:rsidRPr="005A62BD" w:rsidRDefault="00140EA1" w:rsidP="00D73FC4">
      <w:pPr>
        <w:pStyle w:val="Sourcereference"/>
        <w:keepNext/>
        <w:keepLines/>
        <w:spacing w:after="0"/>
        <w:jc w:val="both"/>
        <w:rPr>
          <w:sz w:val="24"/>
          <w:lang w:eastAsia="en-GB"/>
        </w:rPr>
      </w:pPr>
      <w:r w:rsidRPr="005A62BD">
        <w:rPr>
          <w:sz w:val="24"/>
        </w:rPr>
        <w:t xml:space="preserve">Source: </w:t>
      </w:r>
      <w:r w:rsidRPr="005A62BD">
        <w:rPr>
          <w:sz w:val="24"/>
          <w:lang w:eastAsia="en-GB"/>
        </w:rPr>
        <w:t>EUSILC UDB 2015 – version of October 2017</w:t>
      </w:r>
    </w:p>
    <w:p w14:paraId="6D710FB8" w14:textId="1BB439F6" w:rsidR="00140EA1" w:rsidRPr="005A62BD" w:rsidRDefault="00140EA1" w:rsidP="00D73FC4">
      <w:pPr>
        <w:pStyle w:val="Sourcereference"/>
        <w:keepNext/>
        <w:keepLines/>
        <w:spacing w:after="0"/>
        <w:jc w:val="both"/>
        <w:rPr>
          <w:sz w:val="24"/>
          <w:lang w:eastAsia="en-GB"/>
        </w:rPr>
      </w:pPr>
      <w:r w:rsidRPr="005A62BD">
        <w:rPr>
          <w:sz w:val="24"/>
          <w:lang w:eastAsia="en-GB"/>
        </w:rPr>
        <w:t>Note: the Slovakian disability prevalence estimates are above the EU28 average, notably for older persons. This might affect the estimation of comparative outcome indicators based upon them.</w:t>
      </w:r>
    </w:p>
    <w:p w14:paraId="6C20471D" w14:textId="77777777" w:rsidR="00AB2EF5" w:rsidRPr="005A62BD" w:rsidRDefault="00AB2EF5" w:rsidP="00D73FC4">
      <w:pPr>
        <w:spacing w:after="0"/>
        <w:jc w:val="both"/>
        <w:rPr>
          <w:lang w:eastAsia="en-GB"/>
        </w:rPr>
      </w:pPr>
    </w:p>
    <w:p w14:paraId="38E8D295" w14:textId="432CB218" w:rsidR="00EA5FB9" w:rsidRPr="005A62BD" w:rsidRDefault="00140EA1" w:rsidP="00D73FC4">
      <w:pPr>
        <w:spacing w:after="0"/>
        <w:jc w:val="both"/>
      </w:pPr>
      <w:r w:rsidRPr="005A62BD">
        <w:t>In subsequent tables, these data are used as a proxy to estimate ‘disability’ equality in the main target areas for EU2020 – employment, education and poverty risk.</w:t>
      </w:r>
      <w:r w:rsidRPr="005A62BD">
        <w:rPr>
          <w:rStyle w:val="FootnoteReference"/>
        </w:rPr>
        <w:footnoteReference w:id="6"/>
      </w:r>
      <w:r w:rsidRPr="005A62BD">
        <w:t xml:space="preserve"> The </w:t>
      </w:r>
      <w:r w:rsidRPr="005A62BD">
        <w:lastRenderedPageBreak/>
        <w:t>tables are presented by disaggregating the estimated proportion of people who report and do not report limitations for each indicator (e.g. among those who are employed, unemployed, at risk of poverty, etc.)</w:t>
      </w:r>
      <w:r w:rsidR="00EA5FB9" w:rsidRPr="005A62BD">
        <w:t>.</w:t>
      </w:r>
    </w:p>
    <w:p w14:paraId="24B925C7" w14:textId="77777777" w:rsidR="00AB2EF5" w:rsidRPr="005A62BD" w:rsidRDefault="00AB2EF5" w:rsidP="00D73FC4">
      <w:pPr>
        <w:spacing w:after="0"/>
        <w:jc w:val="both"/>
      </w:pPr>
    </w:p>
    <w:p w14:paraId="30C6E23F" w14:textId="77777777" w:rsidR="00BC5855" w:rsidRPr="005A62BD" w:rsidRDefault="000D320A" w:rsidP="008C17EE">
      <w:pPr>
        <w:pStyle w:val="Heading2"/>
      </w:pPr>
      <w:bookmarkStart w:id="5" w:name="_Toc499120870"/>
      <w:r w:rsidRPr="005A62BD">
        <w:t xml:space="preserve">Employment </w:t>
      </w:r>
      <w:r w:rsidR="00D72CA8" w:rsidRPr="005A62BD">
        <w:t>data</w:t>
      </w:r>
      <w:bookmarkEnd w:id="5"/>
    </w:p>
    <w:p w14:paraId="58E26553" w14:textId="77777777" w:rsidR="00F84654" w:rsidRPr="005A62BD" w:rsidRDefault="00F84654" w:rsidP="00AB2EF5">
      <w:pPr>
        <w:spacing w:after="0"/>
      </w:pPr>
    </w:p>
    <w:p w14:paraId="1D77773D" w14:textId="77777777" w:rsidR="00140EA1" w:rsidRPr="005A62BD" w:rsidRDefault="00140EA1" w:rsidP="00AB2EF5">
      <w:pPr>
        <w:pStyle w:val="Caption"/>
        <w:keepNext/>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3</w:t>
      </w:r>
      <w:r w:rsidR="00AB2EF5" w:rsidRPr="005A62BD">
        <w:rPr>
          <w:noProof/>
          <w:sz w:val="24"/>
          <w:szCs w:val="24"/>
        </w:rPr>
        <w:fldChar w:fldCharType="end"/>
      </w:r>
      <w:r w:rsidRPr="005A62BD">
        <w:rPr>
          <w:noProof/>
          <w:sz w:val="24"/>
          <w:szCs w:val="24"/>
        </w:rPr>
        <w:t>: Most recent employment data, aged 20-64</w:t>
      </w:r>
    </w:p>
    <w:p w14:paraId="0B263242" w14:textId="77777777" w:rsidR="00140EA1" w:rsidRPr="005A62BD" w:rsidRDefault="00140EA1" w:rsidP="00AB2EF5">
      <w:pPr>
        <w:spacing w:after="0"/>
      </w:pPr>
      <w:r w:rsidRPr="005A62BD">
        <w:rPr>
          <w:noProof/>
          <w:lang w:eastAsia="zh-CN"/>
        </w:rPr>
        <w:drawing>
          <wp:inline distT="0" distB="0" distL="0" distR="0" wp14:anchorId="695A46E3" wp14:editId="475E6149">
            <wp:extent cx="5581934" cy="2361062"/>
            <wp:effectExtent l="0" t="0" r="0" b="12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62D24F" w14:textId="09229F52" w:rsidR="00140EA1" w:rsidRPr="005A62BD" w:rsidRDefault="00140EA1"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1046B075" w14:textId="77777777" w:rsidR="00AB2EF5" w:rsidRPr="005A62BD" w:rsidRDefault="00AB2EF5" w:rsidP="00AB2EF5">
      <w:pPr>
        <w:pStyle w:val="Sourcereference"/>
        <w:spacing w:after="0"/>
        <w:rPr>
          <w:sz w:val="24"/>
          <w:lang w:eastAsia="en-GB"/>
        </w:rPr>
      </w:pPr>
    </w:p>
    <w:p w14:paraId="112B13B8" w14:textId="77777777" w:rsidR="00140EA1" w:rsidRPr="005A62BD" w:rsidRDefault="00140EA1"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4</w:t>
      </w:r>
      <w:r w:rsidR="00AB2EF5" w:rsidRPr="005A62BD">
        <w:rPr>
          <w:noProof/>
          <w:sz w:val="24"/>
          <w:szCs w:val="24"/>
        </w:rPr>
        <w:fldChar w:fldCharType="end"/>
      </w:r>
      <w:r w:rsidRPr="005A62BD">
        <w:rPr>
          <w:sz w:val="24"/>
          <w:szCs w:val="24"/>
        </w:rPr>
        <w:t>: Employment rate data, by age group</w:t>
      </w:r>
    </w:p>
    <w:p w14:paraId="3CA0265A" w14:textId="77777777" w:rsidR="00140EA1" w:rsidRPr="005A62BD" w:rsidRDefault="00140EA1" w:rsidP="00AB2EF5">
      <w:pPr>
        <w:spacing w:after="0"/>
      </w:pPr>
      <w:r w:rsidRPr="005A62BD">
        <w:rPr>
          <w:noProof/>
          <w:lang w:eastAsia="zh-CN"/>
        </w:rPr>
        <w:drawing>
          <wp:inline distT="0" distB="0" distL="0" distR="0" wp14:anchorId="0AC6F9CD" wp14:editId="0E69DD81">
            <wp:extent cx="5581934" cy="2565780"/>
            <wp:effectExtent l="0" t="0" r="0" b="63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EC207C" w14:textId="77777777" w:rsidR="00140EA1" w:rsidRPr="005A62BD" w:rsidRDefault="00140EA1"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0BA7346E" w14:textId="77777777" w:rsidR="00140EA1" w:rsidRPr="005A62BD" w:rsidRDefault="00140EA1" w:rsidP="00AB2EF5">
      <w:pPr>
        <w:pStyle w:val="Caption"/>
        <w:keepNext/>
        <w:spacing w:after="0"/>
        <w:rPr>
          <w:sz w:val="24"/>
          <w:szCs w:val="24"/>
        </w:rPr>
      </w:pPr>
      <w:r w:rsidRPr="005A62BD">
        <w:rPr>
          <w:sz w:val="24"/>
          <w:szCs w:val="24"/>
        </w:rPr>
        <w:lastRenderedPageBreak/>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5</w:t>
      </w:r>
      <w:r w:rsidR="00AB2EF5" w:rsidRPr="005A62BD">
        <w:rPr>
          <w:noProof/>
          <w:sz w:val="24"/>
          <w:szCs w:val="24"/>
        </w:rPr>
        <w:fldChar w:fldCharType="end"/>
      </w:r>
      <w:r w:rsidRPr="005A62BD">
        <w:rPr>
          <w:sz w:val="24"/>
          <w:szCs w:val="24"/>
        </w:rPr>
        <w:t>: Trends in employment by gender and disability (aged 20-64)</w:t>
      </w:r>
    </w:p>
    <w:p w14:paraId="28930B59" w14:textId="77777777" w:rsidR="00140EA1" w:rsidRPr="005A62BD" w:rsidRDefault="00140EA1" w:rsidP="00AB2EF5">
      <w:pPr>
        <w:spacing w:after="0"/>
      </w:pPr>
      <w:r w:rsidRPr="005A62BD">
        <w:rPr>
          <w:noProof/>
          <w:lang w:eastAsia="zh-CN"/>
        </w:rPr>
        <w:drawing>
          <wp:inline distT="0" distB="0" distL="0" distR="0" wp14:anchorId="0E6361E7" wp14:editId="15AF8BB3">
            <wp:extent cx="5486400" cy="463867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270F54" w14:textId="09139863" w:rsidR="00140EA1" w:rsidRPr="005A62BD" w:rsidRDefault="00140EA1"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 (and preceding UDBs)</w:t>
      </w:r>
    </w:p>
    <w:p w14:paraId="4FC9D67F" w14:textId="77777777" w:rsidR="00AB2EF5" w:rsidRPr="005A62BD" w:rsidRDefault="00AB2EF5" w:rsidP="00D73FC4">
      <w:pPr>
        <w:pStyle w:val="Sourcereference"/>
        <w:spacing w:after="0"/>
        <w:jc w:val="both"/>
        <w:rPr>
          <w:sz w:val="24"/>
          <w:lang w:eastAsia="en-GB"/>
        </w:rPr>
      </w:pPr>
    </w:p>
    <w:p w14:paraId="2DE28F79" w14:textId="5E3AEEE7" w:rsidR="00EA5FB9" w:rsidRPr="005A62BD" w:rsidRDefault="00140EA1" w:rsidP="00D73FC4">
      <w:pPr>
        <w:pStyle w:val="BodyText"/>
        <w:spacing w:after="0"/>
        <w:jc w:val="both"/>
      </w:pPr>
      <w:r w:rsidRPr="005A62BD">
        <w:t xml:space="preserve">The table above shows a comparison of national employment trends for disabled and non-disabled women and </w:t>
      </w:r>
      <w:proofErr w:type="gramStart"/>
      <w:r w:rsidRPr="005A62BD">
        <w:t>men, and</w:t>
      </w:r>
      <w:proofErr w:type="gramEnd"/>
      <w:r w:rsidRPr="005A62BD">
        <w:t xml:space="preserve"> compares this with the EU2020 headline indicator for the EU as a whole</w:t>
      </w:r>
      <w:r w:rsidR="00EA5FB9" w:rsidRPr="005A62BD">
        <w:t>.</w:t>
      </w:r>
    </w:p>
    <w:p w14:paraId="67A6E368" w14:textId="77777777" w:rsidR="0017541C" w:rsidRPr="005A62BD" w:rsidRDefault="0017541C" w:rsidP="00D73FC4">
      <w:pPr>
        <w:pStyle w:val="BodyText"/>
        <w:spacing w:after="0"/>
        <w:jc w:val="both"/>
      </w:pPr>
    </w:p>
    <w:p w14:paraId="086EED71" w14:textId="77777777" w:rsidR="0066278F" w:rsidRPr="005A62BD" w:rsidRDefault="0066278F" w:rsidP="00D73FC4">
      <w:pPr>
        <w:pStyle w:val="Un-numberedsubheading"/>
        <w:spacing w:after="0"/>
        <w:jc w:val="both"/>
      </w:pPr>
      <w:r w:rsidRPr="005A62BD">
        <w:t xml:space="preserve">Alternative data on disability and employment </w:t>
      </w:r>
      <w:r w:rsidR="00803568" w:rsidRPr="005A62BD">
        <w:t>provided by the national expert</w:t>
      </w:r>
      <w:r w:rsidRPr="005A62BD">
        <w:t>:</w:t>
      </w:r>
    </w:p>
    <w:p w14:paraId="2297C7AB" w14:textId="77777777" w:rsidR="0017541C" w:rsidRPr="005A62BD" w:rsidRDefault="0017541C" w:rsidP="00D73FC4">
      <w:pPr>
        <w:pStyle w:val="Un-numberedsubheading"/>
        <w:spacing w:after="0"/>
        <w:jc w:val="both"/>
      </w:pPr>
    </w:p>
    <w:p w14:paraId="33D3A6C4" w14:textId="77777777" w:rsidR="00F84654" w:rsidRPr="005A62BD" w:rsidRDefault="00F84654" w:rsidP="00D73FC4">
      <w:pPr>
        <w:spacing w:after="0"/>
        <w:jc w:val="both"/>
      </w:pPr>
      <w:r w:rsidRPr="005A62BD">
        <w:t xml:space="preserve">National data on employment of people with disabilities vary </w:t>
      </w:r>
      <w:proofErr w:type="gramStart"/>
      <w:r w:rsidRPr="005A62BD">
        <w:t>to a great extent</w:t>
      </w:r>
      <w:r w:rsidR="00D54AB8" w:rsidRPr="005A62BD">
        <w:t>,</w:t>
      </w:r>
      <w:proofErr w:type="gramEnd"/>
      <w:r w:rsidR="00D54AB8" w:rsidRPr="005A62BD">
        <w:t xml:space="preserve"> </w:t>
      </w:r>
      <w:r w:rsidRPr="005A62BD">
        <w:t xml:space="preserve">among each other and in time. Until May 2011, the main data source on employment of people with disabilities was </w:t>
      </w:r>
      <w:r w:rsidR="00D54AB8" w:rsidRPr="005A62BD">
        <w:t xml:space="preserve">the quarterly </w:t>
      </w:r>
      <w:r w:rsidRPr="005A62BD">
        <w:t>Labour Force Survey (LFS)</w:t>
      </w:r>
      <w:r w:rsidR="00AF4A97" w:rsidRPr="005A62BD">
        <w:t>,</w:t>
      </w:r>
      <w:r w:rsidRPr="005A62BD">
        <w:t xml:space="preserve"> </w:t>
      </w:r>
      <w:r w:rsidR="00AF4A97" w:rsidRPr="005A62BD">
        <w:t xml:space="preserve">which has still been </w:t>
      </w:r>
      <w:r w:rsidRPr="005A62BD">
        <w:t>conducted by Statistical Office of the Slovak Republic</w:t>
      </w:r>
      <w:r w:rsidR="00AF4A97" w:rsidRPr="005A62BD">
        <w:t>.</w:t>
      </w:r>
      <w:r w:rsidRPr="005A62BD">
        <w:t xml:space="preserve"> </w:t>
      </w:r>
      <w:r w:rsidR="00AF4A97" w:rsidRPr="005A62BD">
        <w:t xml:space="preserve">The survey is </w:t>
      </w:r>
      <w:r w:rsidRPr="005A62BD">
        <w:t xml:space="preserve">not specifically aimed at people with disabilities. Participants in this survey </w:t>
      </w:r>
      <w:r w:rsidR="00AF4A97" w:rsidRPr="005A62BD">
        <w:t xml:space="preserve">are </w:t>
      </w:r>
      <w:r w:rsidRPr="005A62BD">
        <w:t xml:space="preserve">asked whether they have been </w:t>
      </w:r>
      <w:r w:rsidR="002A3497" w:rsidRPr="005A62BD">
        <w:t xml:space="preserve">officially recognised as </w:t>
      </w:r>
      <w:r w:rsidRPr="005A62BD">
        <w:t xml:space="preserve">disabled. However, the question does not specify which of the two assessment mechanisms shall be addressed: </w:t>
      </w:r>
    </w:p>
    <w:p w14:paraId="59B17728" w14:textId="77777777" w:rsidR="0017541C" w:rsidRPr="005A62BD" w:rsidRDefault="0017541C" w:rsidP="00D73FC4">
      <w:pPr>
        <w:spacing w:after="0"/>
        <w:jc w:val="both"/>
      </w:pPr>
    </w:p>
    <w:p w14:paraId="08351E17" w14:textId="77777777" w:rsidR="00F84654" w:rsidRPr="005A62BD" w:rsidRDefault="00F84654" w:rsidP="00D73FC4">
      <w:pPr>
        <w:pStyle w:val="ListParagraph"/>
        <w:numPr>
          <w:ilvl w:val="0"/>
          <w:numId w:val="7"/>
        </w:numPr>
        <w:spacing w:after="0"/>
        <w:ind w:left="567" w:hanging="567"/>
        <w:jc w:val="both"/>
      </w:pPr>
      <w:r w:rsidRPr="005A62BD">
        <w:t>the</w:t>
      </w:r>
      <w:r w:rsidR="0017541C" w:rsidRPr="005A62BD">
        <w:t xml:space="preserve"> assessment for the purposes of</w:t>
      </w:r>
      <w:r w:rsidRPr="005A62BD">
        <w:t xml:space="preserve"> the non-cont</w:t>
      </w:r>
      <w:r w:rsidR="0017541C" w:rsidRPr="005A62BD">
        <w:t xml:space="preserve">ributory cash benefits for the </w:t>
      </w:r>
      <w:r w:rsidRPr="005A62BD">
        <w:t>compensation of the social consequences of severe disability</w:t>
      </w:r>
      <w:r w:rsidR="0017541C" w:rsidRPr="005A62BD">
        <w:t>,</w:t>
      </w:r>
      <w:r w:rsidRPr="005A62BD">
        <w:rPr>
          <w:rStyle w:val="FootnoteReference"/>
        </w:rPr>
        <w:footnoteReference w:id="7"/>
      </w:r>
      <w:r w:rsidRPr="005A62BD">
        <w:t xml:space="preserve"> involving a </w:t>
      </w:r>
      <w:r w:rsidRPr="005A62BD">
        <w:lastRenderedPageBreak/>
        <w:t>functional disorder of at least 50%. There are approximately 448</w:t>
      </w:r>
      <w:r w:rsidR="00D54AB8" w:rsidRPr="005A62BD">
        <w:t>,000</w:t>
      </w:r>
      <w:r w:rsidRPr="005A62BD">
        <w:t xml:space="preserve"> people based on the functional assessment without any age limitation. </w:t>
      </w:r>
    </w:p>
    <w:p w14:paraId="78D002B0" w14:textId="77777777" w:rsidR="00F84654" w:rsidRPr="005A62BD" w:rsidRDefault="00F84654" w:rsidP="00D73FC4">
      <w:pPr>
        <w:pStyle w:val="ListParagraph"/>
        <w:numPr>
          <w:ilvl w:val="0"/>
          <w:numId w:val="7"/>
        </w:numPr>
        <w:spacing w:after="0"/>
        <w:ind w:left="567" w:hanging="567"/>
        <w:jc w:val="both"/>
      </w:pPr>
      <w:r w:rsidRPr="005A62BD">
        <w:t>The assessment mechanism of reduced work capacity</w:t>
      </w:r>
      <w:r w:rsidR="0017541C" w:rsidRPr="005A62BD">
        <w:t>,</w:t>
      </w:r>
      <w:r w:rsidRPr="005A62BD">
        <w:rPr>
          <w:rStyle w:val="FootnoteReference"/>
        </w:rPr>
        <w:footnoteReference w:id="8"/>
      </w:r>
      <w:r w:rsidRPr="005A62BD">
        <w:t xml:space="preserve"> applied to claimants aged 18</w:t>
      </w:r>
      <w:r w:rsidR="0045140B" w:rsidRPr="005A62BD">
        <w:t xml:space="preserve">+ until old age pension </w:t>
      </w:r>
      <w:r w:rsidRPr="005A62BD">
        <w:t xml:space="preserve">to provide them with disability pension. In this case, being disabled refers to reduced work capacity by more than 40%, and severe disability refers to reduced work capacity by more than 70%. In </w:t>
      </w:r>
      <w:r w:rsidR="00A65F13" w:rsidRPr="005A62BD">
        <w:t xml:space="preserve">September 2016, there were 247,334 disability pensioners (against </w:t>
      </w:r>
      <w:r w:rsidRPr="005A62BD">
        <w:t>240</w:t>
      </w:r>
      <w:r w:rsidR="00D54AB8" w:rsidRPr="005A62BD">
        <w:t>,</w:t>
      </w:r>
      <w:r w:rsidRPr="005A62BD">
        <w:t>445 disability pensioners</w:t>
      </w:r>
      <w:r w:rsidR="00A65F13" w:rsidRPr="005A62BD">
        <w:t xml:space="preserve"> in March 2014)</w:t>
      </w:r>
      <w:r w:rsidRPr="005A62BD">
        <w:t xml:space="preserve">. </w:t>
      </w:r>
    </w:p>
    <w:p w14:paraId="5F040BD4" w14:textId="77777777" w:rsidR="008A0885" w:rsidRPr="005A62BD" w:rsidRDefault="008A0885" w:rsidP="00D73FC4">
      <w:pPr>
        <w:spacing w:after="0"/>
        <w:jc w:val="both"/>
      </w:pPr>
    </w:p>
    <w:p w14:paraId="3946A174" w14:textId="2EFBBA30" w:rsidR="00343FCA" w:rsidRPr="005A62BD" w:rsidRDefault="00343FCA" w:rsidP="00D73FC4">
      <w:pPr>
        <w:spacing w:after="0"/>
        <w:jc w:val="both"/>
      </w:pPr>
      <w:r w:rsidRPr="005A62BD">
        <w:t>The following national</w:t>
      </w:r>
      <w:r w:rsidR="005F304D" w:rsidRPr="005A62BD">
        <w:t xml:space="preserve"> LFS</w:t>
      </w:r>
      <w:r w:rsidRPr="005A62BD">
        <w:t xml:space="preserve"> data on disability and employment</w:t>
      </w:r>
      <w:r w:rsidR="008041CA" w:rsidRPr="005A62BD">
        <w:t xml:space="preserve"> </w:t>
      </w:r>
      <w:r w:rsidRPr="005A62BD">
        <w:t>have been provided by the Statistical Office of the Slovak Republic.</w:t>
      </w:r>
    </w:p>
    <w:p w14:paraId="65ACA605" w14:textId="77777777" w:rsidR="00A83E84" w:rsidRPr="005A62BD" w:rsidRDefault="00A83E84" w:rsidP="00D73FC4">
      <w:pPr>
        <w:pStyle w:val="Graf"/>
        <w:spacing w:after="0" w:line="240" w:lineRule="auto"/>
        <w:rPr>
          <w:rFonts w:ascii="Arial" w:hAnsi="Arial" w:cs="Arial"/>
          <w:lang w:val="en-GB"/>
        </w:rPr>
      </w:pPr>
    </w:p>
    <w:p w14:paraId="6BE6C163" w14:textId="77777777" w:rsidR="00370FBC" w:rsidRPr="005A62BD" w:rsidRDefault="00370FBC" w:rsidP="00D73FC4">
      <w:pPr>
        <w:pStyle w:val="Graf"/>
        <w:spacing w:after="0" w:line="240" w:lineRule="auto"/>
        <w:rPr>
          <w:rFonts w:ascii="Arial" w:hAnsi="Arial" w:cs="Arial"/>
          <w:lang w:val="en-GB"/>
        </w:rPr>
      </w:pPr>
      <w:r w:rsidRPr="005A62BD">
        <w:rPr>
          <w:rFonts w:ascii="Arial" w:hAnsi="Arial" w:cs="Arial"/>
          <w:lang w:val="en-GB"/>
        </w:rPr>
        <w:t xml:space="preserve">Graph: Employment data by age and disability </w:t>
      </w:r>
      <w:bookmarkStart w:id="6" w:name="_Toc472086416"/>
      <w:r w:rsidRPr="005A62BD">
        <w:rPr>
          <w:rFonts w:ascii="Arial" w:hAnsi="Arial" w:cs="Arial"/>
          <w:lang w:val="en-GB"/>
        </w:rPr>
        <w:t>(2015)</w:t>
      </w:r>
      <w:bookmarkEnd w:id="6"/>
    </w:p>
    <w:p w14:paraId="01304208" w14:textId="254FD338" w:rsidR="000C2C88" w:rsidRPr="005A62BD" w:rsidRDefault="000C2C88" w:rsidP="00AB2EF5">
      <w:pPr>
        <w:spacing w:after="0"/>
        <w:rPr>
          <w:bCs/>
          <w:i/>
        </w:rPr>
      </w:pPr>
      <w:r w:rsidRPr="005A62BD">
        <w:rPr>
          <w:noProof/>
          <w:lang w:eastAsia="zh-CN"/>
        </w:rPr>
        <w:drawing>
          <wp:inline distT="0" distB="0" distL="0" distR="0" wp14:anchorId="12D1D067" wp14:editId="741CB9DA">
            <wp:extent cx="5667376" cy="3119438"/>
            <wp:effectExtent l="0" t="0" r="9525" b="508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5640D5" w14:textId="1751A522" w:rsidR="00D04102" w:rsidRPr="005A62BD" w:rsidRDefault="00D04102" w:rsidP="00AB2EF5">
      <w:pPr>
        <w:spacing w:after="0"/>
        <w:rPr>
          <w:bCs/>
          <w:i/>
        </w:rPr>
      </w:pPr>
      <w:r w:rsidRPr="005A62BD">
        <w:rPr>
          <w:bCs/>
          <w:i/>
        </w:rPr>
        <w:t>Source: LFS UDB 2015</w:t>
      </w:r>
      <w:r w:rsidR="00BA25CA" w:rsidRPr="005A62BD">
        <w:rPr>
          <w:bCs/>
          <w:i/>
        </w:rPr>
        <w:t xml:space="preserve"> (Statistical Office </w:t>
      </w:r>
      <w:r w:rsidR="00AB2EF5" w:rsidRPr="005A62BD">
        <w:rPr>
          <w:bCs/>
          <w:i/>
        </w:rPr>
        <w:t>of the Slovak Republic, October</w:t>
      </w:r>
      <w:r w:rsidR="00BA25CA" w:rsidRPr="005A62BD">
        <w:rPr>
          <w:bCs/>
          <w:i/>
        </w:rPr>
        <w:t xml:space="preserve"> 2016)</w:t>
      </w:r>
    </w:p>
    <w:p w14:paraId="32EA17F9" w14:textId="77777777" w:rsidR="00881498" w:rsidRPr="005A62BD" w:rsidRDefault="00881498" w:rsidP="00AB2EF5">
      <w:pPr>
        <w:spacing w:after="0"/>
      </w:pPr>
    </w:p>
    <w:p w14:paraId="59A6733D" w14:textId="77777777" w:rsidR="008A0885" w:rsidRPr="005A62BD" w:rsidRDefault="00082180" w:rsidP="00AB2EF5">
      <w:pPr>
        <w:spacing w:after="0"/>
        <w:rPr>
          <w:b/>
          <w:bCs/>
        </w:rPr>
      </w:pPr>
      <w:r w:rsidRPr="005A62BD">
        <w:rPr>
          <w:b/>
          <w:bCs/>
        </w:rPr>
        <w:br w:type="page"/>
      </w:r>
    </w:p>
    <w:p w14:paraId="020C2F24" w14:textId="2B06E9A8" w:rsidR="00F84654" w:rsidRPr="005A62BD" w:rsidRDefault="00A11B9F" w:rsidP="00D73FC4">
      <w:pPr>
        <w:spacing w:after="0"/>
        <w:jc w:val="both"/>
      </w:pPr>
      <w:r w:rsidRPr="005A62BD">
        <w:lastRenderedPageBreak/>
        <w:t>T</w:t>
      </w:r>
      <w:r w:rsidR="00F84654" w:rsidRPr="005A62BD">
        <w:t xml:space="preserve">here is another source of national data on the employment of people with disabilities, namely the Social Insurance Agency (SIA). The SIA operates a register of people receiving disability pension (i.e. these are </w:t>
      </w:r>
      <w:r w:rsidR="00D54AB8" w:rsidRPr="005A62BD">
        <w:t xml:space="preserve">administrative </w:t>
      </w:r>
      <w:r w:rsidR="00F84654" w:rsidRPr="005A62BD">
        <w:t xml:space="preserve">not survey data). As shown in the following table, </w:t>
      </w:r>
      <w:r w:rsidR="00D54AB8" w:rsidRPr="005A62BD">
        <w:t xml:space="preserve">the </w:t>
      </w:r>
      <w:r w:rsidR="00F84654" w:rsidRPr="005A62BD">
        <w:t>number of employed persons with disabilities according to the SIA is almost twice as high as the Statistical Office</w:t>
      </w:r>
      <w:r w:rsidR="00D54AB8" w:rsidRPr="005A62BD">
        <w:t xml:space="preserve"> estimate</w:t>
      </w:r>
      <w:r w:rsidR="00F84654" w:rsidRPr="005A62BD">
        <w:t xml:space="preserve">. </w:t>
      </w:r>
    </w:p>
    <w:p w14:paraId="28793B71" w14:textId="77777777" w:rsidR="00F84654" w:rsidRPr="005A62BD" w:rsidRDefault="00F84654" w:rsidP="00AB2EF5">
      <w:pPr>
        <w:spacing w:after="0"/>
        <w:rPr>
          <w:b/>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2"/>
        <w:gridCol w:w="1159"/>
        <w:gridCol w:w="1276"/>
        <w:gridCol w:w="1274"/>
        <w:gridCol w:w="1367"/>
        <w:gridCol w:w="1064"/>
        <w:gridCol w:w="1064"/>
      </w:tblGrid>
      <w:tr w:rsidR="00A11B9F" w:rsidRPr="001B31E0" w14:paraId="1740E8A9" w14:textId="77777777" w:rsidTr="00A11B9F">
        <w:trPr>
          <w:trHeight w:val="300"/>
        </w:trPr>
        <w:tc>
          <w:tcPr>
            <w:tcW w:w="4427" w:type="pct"/>
            <w:gridSpan w:val="6"/>
            <w:tcBorders>
              <w:top w:val="single" w:sz="4" w:space="0" w:color="auto"/>
              <w:left w:val="single" w:sz="4" w:space="0" w:color="auto"/>
              <w:bottom w:val="single" w:sz="4" w:space="0" w:color="auto"/>
              <w:right w:val="single" w:sz="4" w:space="0" w:color="auto"/>
            </w:tcBorders>
          </w:tcPr>
          <w:p w14:paraId="4DEA1CD8" w14:textId="77777777" w:rsidR="00A11B9F" w:rsidRPr="001B31E0" w:rsidRDefault="00A11B9F" w:rsidP="00AB2EF5">
            <w:pPr>
              <w:spacing w:after="0"/>
              <w:rPr>
                <w:b/>
                <w:sz w:val="20"/>
                <w:szCs w:val="20"/>
              </w:rPr>
            </w:pPr>
            <w:r w:rsidRPr="001B31E0">
              <w:rPr>
                <w:b/>
                <w:sz w:val="20"/>
                <w:szCs w:val="20"/>
              </w:rPr>
              <w:t>Economic status of persons with disabilities by Statistical Office and SIA (March 31)</w:t>
            </w:r>
          </w:p>
        </w:tc>
        <w:tc>
          <w:tcPr>
            <w:tcW w:w="573" w:type="pct"/>
            <w:tcBorders>
              <w:top w:val="single" w:sz="4" w:space="0" w:color="auto"/>
              <w:left w:val="single" w:sz="4" w:space="0" w:color="auto"/>
              <w:bottom w:val="single" w:sz="4" w:space="0" w:color="auto"/>
              <w:right w:val="single" w:sz="4" w:space="0" w:color="auto"/>
            </w:tcBorders>
          </w:tcPr>
          <w:p w14:paraId="29615D31" w14:textId="77777777" w:rsidR="00A11B9F" w:rsidRPr="001B31E0" w:rsidRDefault="00A11B9F" w:rsidP="00AB2EF5">
            <w:pPr>
              <w:spacing w:after="0"/>
              <w:rPr>
                <w:b/>
                <w:sz w:val="20"/>
                <w:szCs w:val="20"/>
              </w:rPr>
            </w:pPr>
          </w:p>
        </w:tc>
      </w:tr>
      <w:tr w:rsidR="001B7314" w:rsidRPr="001B31E0" w14:paraId="3C2DB54A" w14:textId="77777777" w:rsidTr="001B7314">
        <w:trPr>
          <w:trHeight w:val="300"/>
        </w:trPr>
        <w:tc>
          <w:tcPr>
            <w:tcW w:w="1121" w:type="pct"/>
            <w:tcBorders>
              <w:top w:val="single" w:sz="4" w:space="0" w:color="auto"/>
              <w:left w:val="single" w:sz="4" w:space="0" w:color="auto"/>
              <w:bottom w:val="single" w:sz="4" w:space="0" w:color="auto"/>
              <w:right w:val="single" w:sz="4" w:space="0" w:color="auto"/>
            </w:tcBorders>
            <w:hideMark/>
          </w:tcPr>
          <w:p w14:paraId="302A564A" w14:textId="77777777" w:rsidR="001B7314" w:rsidRPr="001B31E0" w:rsidRDefault="001B7314" w:rsidP="00AB2EF5">
            <w:pPr>
              <w:spacing w:after="0"/>
              <w:rPr>
                <w:sz w:val="20"/>
                <w:szCs w:val="20"/>
              </w:rPr>
            </w:pPr>
            <w:r w:rsidRPr="001B31E0">
              <w:rPr>
                <w:sz w:val="20"/>
                <w:szCs w:val="20"/>
              </w:rPr>
              <w:t> </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14:paraId="633D25E1" w14:textId="77777777" w:rsidR="001B7314" w:rsidRPr="001B31E0" w:rsidRDefault="001B7314" w:rsidP="00AB2EF5">
            <w:pPr>
              <w:spacing w:after="0"/>
              <w:rPr>
                <w:b/>
                <w:sz w:val="20"/>
                <w:szCs w:val="20"/>
              </w:rPr>
            </w:pPr>
            <w:r w:rsidRPr="001B31E0">
              <w:rPr>
                <w:b/>
                <w:sz w:val="20"/>
                <w:szCs w:val="20"/>
              </w:rPr>
              <w:t>2013</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3BE31024" w14:textId="77777777" w:rsidR="001B7314" w:rsidRPr="001B31E0" w:rsidRDefault="001B7314" w:rsidP="00AB2EF5">
            <w:pPr>
              <w:spacing w:after="0"/>
              <w:rPr>
                <w:b/>
                <w:sz w:val="20"/>
                <w:szCs w:val="20"/>
              </w:rPr>
            </w:pPr>
            <w:r w:rsidRPr="001B31E0">
              <w:rPr>
                <w:b/>
                <w:sz w:val="20"/>
                <w:szCs w:val="20"/>
              </w:rPr>
              <w:t>2014</w:t>
            </w:r>
          </w:p>
        </w:tc>
        <w:tc>
          <w:tcPr>
            <w:tcW w:w="1146" w:type="pct"/>
            <w:gridSpan w:val="2"/>
            <w:tcBorders>
              <w:top w:val="single" w:sz="4" w:space="0" w:color="auto"/>
              <w:left w:val="single" w:sz="4" w:space="0" w:color="auto"/>
              <w:bottom w:val="single" w:sz="4" w:space="0" w:color="auto"/>
              <w:right w:val="single" w:sz="4" w:space="0" w:color="auto"/>
            </w:tcBorders>
            <w:vAlign w:val="center"/>
          </w:tcPr>
          <w:p w14:paraId="10EF0208" w14:textId="77777777" w:rsidR="001B7314" w:rsidRPr="001B31E0" w:rsidRDefault="001B7314" w:rsidP="00AB2EF5">
            <w:pPr>
              <w:spacing w:after="0"/>
              <w:rPr>
                <w:b/>
                <w:sz w:val="20"/>
                <w:szCs w:val="20"/>
              </w:rPr>
            </w:pPr>
            <w:r w:rsidRPr="001B31E0">
              <w:rPr>
                <w:b/>
                <w:sz w:val="20"/>
                <w:szCs w:val="20"/>
              </w:rPr>
              <w:t>2015</w:t>
            </w:r>
          </w:p>
        </w:tc>
      </w:tr>
      <w:tr w:rsidR="00A11B9F" w:rsidRPr="001B31E0" w14:paraId="735FC3A6" w14:textId="77777777" w:rsidTr="00A11B9F">
        <w:trPr>
          <w:trHeight w:val="315"/>
        </w:trPr>
        <w:tc>
          <w:tcPr>
            <w:tcW w:w="1121" w:type="pct"/>
            <w:tcBorders>
              <w:top w:val="single" w:sz="4" w:space="0" w:color="auto"/>
              <w:left w:val="single" w:sz="4" w:space="0" w:color="auto"/>
              <w:bottom w:val="single" w:sz="4" w:space="0" w:color="auto"/>
              <w:right w:val="single" w:sz="4" w:space="0" w:color="auto"/>
            </w:tcBorders>
            <w:hideMark/>
          </w:tcPr>
          <w:p w14:paraId="40909D31" w14:textId="77777777" w:rsidR="00A11B9F" w:rsidRPr="001B31E0" w:rsidRDefault="00A11B9F" w:rsidP="00AB2EF5">
            <w:pPr>
              <w:spacing w:after="0"/>
              <w:rPr>
                <w:sz w:val="20"/>
                <w:szCs w:val="20"/>
              </w:rPr>
            </w:pPr>
            <w:r w:rsidRPr="001B31E0">
              <w:rPr>
                <w:sz w:val="20"/>
                <w:szCs w:val="20"/>
              </w:rPr>
              <w:t> </w:t>
            </w:r>
          </w:p>
        </w:tc>
        <w:tc>
          <w:tcPr>
            <w:tcW w:w="624" w:type="pct"/>
            <w:tcBorders>
              <w:top w:val="single" w:sz="4" w:space="0" w:color="auto"/>
              <w:left w:val="single" w:sz="4" w:space="0" w:color="auto"/>
              <w:bottom w:val="single" w:sz="4" w:space="0" w:color="auto"/>
              <w:right w:val="single" w:sz="4" w:space="0" w:color="auto"/>
            </w:tcBorders>
            <w:vAlign w:val="center"/>
            <w:hideMark/>
          </w:tcPr>
          <w:p w14:paraId="06EB3B51" w14:textId="77777777" w:rsidR="00A11B9F" w:rsidRPr="001B31E0" w:rsidRDefault="00A11B9F" w:rsidP="00AB2EF5">
            <w:pPr>
              <w:spacing w:after="0"/>
              <w:rPr>
                <w:i/>
                <w:sz w:val="20"/>
                <w:szCs w:val="20"/>
              </w:rPr>
            </w:pPr>
            <w:r w:rsidRPr="001B31E0">
              <w:rPr>
                <w:i/>
                <w:sz w:val="20"/>
                <w:szCs w:val="20"/>
              </w:rPr>
              <w:t>SIA</w:t>
            </w:r>
          </w:p>
        </w:tc>
        <w:tc>
          <w:tcPr>
            <w:tcW w:w="687" w:type="pct"/>
            <w:tcBorders>
              <w:top w:val="single" w:sz="4" w:space="0" w:color="auto"/>
              <w:left w:val="single" w:sz="4" w:space="0" w:color="auto"/>
              <w:bottom w:val="single" w:sz="4" w:space="0" w:color="auto"/>
              <w:right w:val="single" w:sz="4" w:space="0" w:color="auto"/>
            </w:tcBorders>
            <w:vAlign w:val="center"/>
            <w:hideMark/>
          </w:tcPr>
          <w:p w14:paraId="094F5617" w14:textId="77777777" w:rsidR="00A11B9F" w:rsidRPr="001B31E0" w:rsidRDefault="00A11B9F" w:rsidP="00AB2EF5">
            <w:pPr>
              <w:spacing w:after="0"/>
              <w:rPr>
                <w:i/>
                <w:sz w:val="20"/>
                <w:szCs w:val="20"/>
              </w:rPr>
            </w:pPr>
            <w:r w:rsidRPr="001B31E0">
              <w:rPr>
                <w:i/>
                <w:sz w:val="20"/>
                <w:szCs w:val="20"/>
              </w:rPr>
              <w:t>LFS</w:t>
            </w:r>
          </w:p>
        </w:tc>
        <w:tc>
          <w:tcPr>
            <w:tcW w:w="686" w:type="pct"/>
            <w:tcBorders>
              <w:top w:val="single" w:sz="4" w:space="0" w:color="auto"/>
              <w:left w:val="single" w:sz="4" w:space="0" w:color="auto"/>
              <w:bottom w:val="single" w:sz="4" w:space="0" w:color="auto"/>
              <w:right w:val="single" w:sz="4" w:space="0" w:color="auto"/>
            </w:tcBorders>
            <w:vAlign w:val="center"/>
            <w:hideMark/>
          </w:tcPr>
          <w:p w14:paraId="43A664A8" w14:textId="77777777" w:rsidR="00A11B9F" w:rsidRPr="001B31E0" w:rsidRDefault="00A11B9F" w:rsidP="00AB2EF5">
            <w:pPr>
              <w:spacing w:after="0"/>
              <w:rPr>
                <w:i/>
                <w:sz w:val="20"/>
                <w:szCs w:val="20"/>
              </w:rPr>
            </w:pPr>
            <w:r w:rsidRPr="001B31E0">
              <w:rPr>
                <w:i/>
                <w:sz w:val="20"/>
                <w:szCs w:val="20"/>
              </w:rPr>
              <w:t>SIA</w:t>
            </w:r>
          </w:p>
        </w:tc>
        <w:tc>
          <w:tcPr>
            <w:tcW w:w="736" w:type="pct"/>
            <w:tcBorders>
              <w:top w:val="single" w:sz="4" w:space="0" w:color="auto"/>
              <w:left w:val="single" w:sz="4" w:space="0" w:color="auto"/>
              <w:bottom w:val="single" w:sz="4" w:space="0" w:color="auto"/>
              <w:right w:val="single" w:sz="4" w:space="0" w:color="auto"/>
            </w:tcBorders>
            <w:vAlign w:val="center"/>
            <w:hideMark/>
          </w:tcPr>
          <w:p w14:paraId="617052A0" w14:textId="77777777" w:rsidR="00A11B9F" w:rsidRPr="001B31E0" w:rsidRDefault="00A11B9F" w:rsidP="00AB2EF5">
            <w:pPr>
              <w:spacing w:after="0"/>
              <w:rPr>
                <w:i/>
                <w:sz w:val="20"/>
                <w:szCs w:val="20"/>
              </w:rPr>
            </w:pPr>
            <w:r w:rsidRPr="001B31E0">
              <w:rPr>
                <w:i/>
                <w:sz w:val="20"/>
                <w:szCs w:val="20"/>
              </w:rPr>
              <w:t>LFS</w:t>
            </w:r>
          </w:p>
        </w:tc>
        <w:tc>
          <w:tcPr>
            <w:tcW w:w="573" w:type="pct"/>
            <w:tcBorders>
              <w:top w:val="single" w:sz="4" w:space="0" w:color="auto"/>
              <w:left w:val="single" w:sz="4" w:space="0" w:color="auto"/>
              <w:bottom w:val="single" w:sz="4" w:space="0" w:color="auto"/>
              <w:right w:val="single" w:sz="4" w:space="0" w:color="auto"/>
            </w:tcBorders>
            <w:vAlign w:val="center"/>
          </w:tcPr>
          <w:p w14:paraId="2D1EBCE9" w14:textId="77777777" w:rsidR="00A11B9F" w:rsidRPr="001B31E0" w:rsidRDefault="00A11B9F" w:rsidP="00AB2EF5">
            <w:pPr>
              <w:spacing w:after="0"/>
              <w:rPr>
                <w:i/>
                <w:sz w:val="20"/>
                <w:szCs w:val="20"/>
              </w:rPr>
            </w:pPr>
            <w:r w:rsidRPr="001B31E0">
              <w:rPr>
                <w:i/>
                <w:sz w:val="20"/>
                <w:szCs w:val="20"/>
              </w:rPr>
              <w:t>SIA</w:t>
            </w:r>
          </w:p>
        </w:tc>
        <w:tc>
          <w:tcPr>
            <w:tcW w:w="573" w:type="pct"/>
            <w:tcBorders>
              <w:top w:val="single" w:sz="4" w:space="0" w:color="auto"/>
              <w:left w:val="single" w:sz="4" w:space="0" w:color="auto"/>
              <w:bottom w:val="single" w:sz="4" w:space="0" w:color="auto"/>
              <w:right w:val="single" w:sz="4" w:space="0" w:color="auto"/>
            </w:tcBorders>
          </w:tcPr>
          <w:p w14:paraId="0F4208FE" w14:textId="77777777" w:rsidR="00A11B9F" w:rsidRPr="001B31E0" w:rsidRDefault="00A11B9F" w:rsidP="00AB2EF5">
            <w:pPr>
              <w:spacing w:after="0"/>
              <w:rPr>
                <w:i/>
                <w:sz w:val="20"/>
                <w:szCs w:val="20"/>
              </w:rPr>
            </w:pPr>
            <w:r w:rsidRPr="001B31E0">
              <w:rPr>
                <w:i/>
                <w:sz w:val="20"/>
                <w:szCs w:val="20"/>
              </w:rPr>
              <w:t>LFS</w:t>
            </w:r>
          </w:p>
        </w:tc>
      </w:tr>
      <w:tr w:rsidR="00A11B9F" w:rsidRPr="001B31E0" w14:paraId="6ACC2B1B" w14:textId="77777777" w:rsidTr="00A11B9F">
        <w:trPr>
          <w:trHeight w:val="315"/>
        </w:trPr>
        <w:tc>
          <w:tcPr>
            <w:tcW w:w="1121" w:type="pct"/>
            <w:tcBorders>
              <w:top w:val="single" w:sz="4" w:space="0" w:color="auto"/>
              <w:left w:val="single" w:sz="4" w:space="0" w:color="auto"/>
              <w:bottom w:val="single" w:sz="4" w:space="0" w:color="auto"/>
              <w:right w:val="single" w:sz="4" w:space="0" w:color="auto"/>
            </w:tcBorders>
            <w:vAlign w:val="center"/>
            <w:hideMark/>
          </w:tcPr>
          <w:p w14:paraId="3BE1AD2B" w14:textId="77777777" w:rsidR="00A11B9F" w:rsidRPr="001B31E0" w:rsidRDefault="00A11B9F" w:rsidP="00AB2EF5">
            <w:pPr>
              <w:spacing w:after="0"/>
              <w:rPr>
                <w:b/>
                <w:sz w:val="20"/>
                <w:szCs w:val="20"/>
              </w:rPr>
            </w:pPr>
            <w:r w:rsidRPr="001B31E0">
              <w:rPr>
                <w:b/>
                <w:sz w:val="20"/>
                <w:szCs w:val="20"/>
              </w:rPr>
              <w:t>Persons receiving disability pension</w:t>
            </w:r>
          </w:p>
        </w:tc>
        <w:tc>
          <w:tcPr>
            <w:tcW w:w="624" w:type="pct"/>
            <w:tcBorders>
              <w:top w:val="single" w:sz="4" w:space="0" w:color="auto"/>
              <w:left w:val="single" w:sz="4" w:space="0" w:color="auto"/>
              <w:bottom w:val="single" w:sz="4" w:space="0" w:color="auto"/>
              <w:right w:val="single" w:sz="4" w:space="0" w:color="auto"/>
            </w:tcBorders>
            <w:vAlign w:val="center"/>
            <w:hideMark/>
          </w:tcPr>
          <w:p w14:paraId="5BBD19D2" w14:textId="77777777" w:rsidR="00A11B9F" w:rsidRPr="001B31E0" w:rsidRDefault="00A11B9F" w:rsidP="00AB2EF5">
            <w:pPr>
              <w:spacing w:after="0"/>
              <w:rPr>
                <w:sz w:val="20"/>
                <w:szCs w:val="20"/>
              </w:rPr>
            </w:pPr>
            <w:r w:rsidRPr="001B31E0">
              <w:rPr>
                <w:sz w:val="20"/>
                <w:szCs w:val="20"/>
              </w:rPr>
              <w:t>237,073</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9466E8" w14:textId="77777777" w:rsidR="00A11B9F" w:rsidRPr="001B31E0" w:rsidRDefault="00A11B9F" w:rsidP="00AB2EF5">
            <w:pPr>
              <w:spacing w:after="0"/>
              <w:rPr>
                <w:sz w:val="20"/>
                <w:szCs w:val="20"/>
              </w:rPr>
            </w:pPr>
            <w:r w:rsidRPr="001B31E0">
              <w:rPr>
                <w:sz w:val="20"/>
                <w:szCs w:val="20"/>
              </w:rPr>
              <w:t>n/a</w:t>
            </w:r>
          </w:p>
        </w:tc>
        <w:tc>
          <w:tcPr>
            <w:tcW w:w="686" w:type="pct"/>
            <w:tcBorders>
              <w:top w:val="single" w:sz="4" w:space="0" w:color="auto"/>
              <w:left w:val="single" w:sz="4" w:space="0" w:color="auto"/>
              <w:bottom w:val="single" w:sz="4" w:space="0" w:color="auto"/>
              <w:right w:val="single" w:sz="4" w:space="0" w:color="auto"/>
            </w:tcBorders>
            <w:vAlign w:val="center"/>
            <w:hideMark/>
          </w:tcPr>
          <w:p w14:paraId="583C8F0C" w14:textId="77777777" w:rsidR="00A11B9F" w:rsidRPr="001B31E0" w:rsidRDefault="00A11B9F" w:rsidP="00AB2EF5">
            <w:pPr>
              <w:spacing w:after="0"/>
              <w:rPr>
                <w:sz w:val="20"/>
                <w:szCs w:val="20"/>
              </w:rPr>
            </w:pPr>
            <w:r w:rsidRPr="001B31E0">
              <w:rPr>
                <w:sz w:val="20"/>
                <w:szCs w:val="20"/>
              </w:rPr>
              <w:t>240,455</w:t>
            </w:r>
          </w:p>
        </w:tc>
        <w:tc>
          <w:tcPr>
            <w:tcW w:w="736" w:type="pct"/>
            <w:tcBorders>
              <w:top w:val="single" w:sz="4" w:space="0" w:color="auto"/>
              <w:left w:val="single" w:sz="4" w:space="0" w:color="auto"/>
              <w:bottom w:val="single" w:sz="4" w:space="0" w:color="auto"/>
              <w:right w:val="single" w:sz="4" w:space="0" w:color="auto"/>
            </w:tcBorders>
            <w:vAlign w:val="center"/>
            <w:hideMark/>
          </w:tcPr>
          <w:p w14:paraId="2648A51D" w14:textId="77777777" w:rsidR="00A11B9F" w:rsidRPr="001B31E0" w:rsidRDefault="00A11B9F" w:rsidP="00AB2EF5">
            <w:pPr>
              <w:spacing w:after="0"/>
              <w:rPr>
                <w:sz w:val="20"/>
                <w:szCs w:val="20"/>
              </w:rPr>
            </w:pPr>
            <w:r w:rsidRPr="001B31E0">
              <w:rPr>
                <w:sz w:val="20"/>
                <w:szCs w:val="20"/>
              </w:rPr>
              <w:t>n/a</w:t>
            </w:r>
          </w:p>
        </w:tc>
        <w:tc>
          <w:tcPr>
            <w:tcW w:w="573" w:type="pct"/>
            <w:tcBorders>
              <w:top w:val="single" w:sz="4" w:space="0" w:color="auto"/>
              <w:left w:val="single" w:sz="4" w:space="0" w:color="auto"/>
              <w:bottom w:val="single" w:sz="4" w:space="0" w:color="auto"/>
              <w:right w:val="single" w:sz="4" w:space="0" w:color="auto"/>
            </w:tcBorders>
            <w:vAlign w:val="center"/>
          </w:tcPr>
          <w:p w14:paraId="4BF3221A" w14:textId="77777777" w:rsidR="00A11B9F" w:rsidRPr="001B31E0" w:rsidRDefault="00A11B9F" w:rsidP="00AB2EF5">
            <w:pPr>
              <w:spacing w:after="0"/>
              <w:rPr>
                <w:sz w:val="20"/>
                <w:szCs w:val="20"/>
              </w:rPr>
            </w:pPr>
            <w:r w:rsidRPr="001B31E0">
              <w:rPr>
                <w:sz w:val="20"/>
                <w:szCs w:val="20"/>
              </w:rPr>
              <w:t>244,958</w:t>
            </w:r>
          </w:p>
        </w:tc>
        <w:tc>
          <w:tcPr>
            <w:tcW w:w="573" w:type="pct"/>
            <w:tcBorders>
              <w:top w:val="single" w:sz="4" w:space="0" w:color="auto"/>
              <w:left w:val="single" w:sz="4" w:space="0" w:color="auto"/>
              <w:bottom w:val="single" w:sz="4" w:space="0" w:color="auto"/>
              <w:right w:val="single" w:sz="4" w:space="0" w:color="auto"/>
            </w:tcBorders>
          </w:tcPr>
          <w:p w14:paraId="49700DBF" w14:textId="77777777" w:rsidR="00A11B9F" w:rsidRPr="001B31E0" w:rsidRDefault="004A77F9" w:rsidP="00AB2EF5">
            <w:pPr>
              <w:spacing w:after="0"/>
              <w:rPr>
                <w:sz w:val="20"/>
                <w:szCs w:val="20"/>
              </w:rPr>
            </w:pPr>
            <w:r w:rsidRPr="001B31E0">
              <w:rPr>
                <w:sz w:val="20"/>
                <w:szCs w:val="20"/>
              </w:rPr>
              <w:t>n/a</w:t>
            </w:r>
          </w:p>
        </w:tc>
      </w:tr>
      <w:tr w:rsidR="00A11B9F" w:rsidRPr="001B31E0" w14:paraId="4C2216D4" w14:textId="77777777" w:rsidTr="00A11B9F">
        <w:trPr>
          <w:trHeight w:val="315"/>
        </w:trPr>
        <w:tc>
          <w:tcPr>
            <w:tcW w:w="1121" w:type="pct"/>
            <w:tcBorders>
              <w:top w:val="single" w:sz="4" w:space="0" w:color="auto"/>
              <w:left w:val="single" w:sz="4" w:space="0" w:color="auto"/>
              <w:bottom w:val="single" w:sz="4" w:space="0" w:color="auto"/>
              <w:right w:val="single" w:sz="4" w:space="0" w:color="auto"/>
            </w:tcBorders>
            <w:vAlign w:val="center"/>
            <w:hideMark/>
          </w:tcPr>
          <w:p w14:paraId="359E9907" w14:textId="77777777" w:rsidR="00A11B9F" w:rsidRPr="001B31E0" w:rsidRDefault="00A11B9F" w:rsidP="00AB2EF5">
            <w:pPr>
              <w:spacing w:after="0"/>
              <w:rPr>
                <w:b/>
                <w:sz w:val="20"/>
                <w:szCs w:val="20"/>
              </w:rPr>
            </w:pPr>
            <w:r w:rsidRPr="001B31E0">
              <w:rPr>
                <w:b/>
                <w:sz w:val="20"/>
                <w:szCs w:val="20"/>
              </w:rPr>
              <w:t>Of which</w:t>
            </w:r>
          </w:p>
          <w:p w14:paraId="206182E1" w14:textId="77777777" w:rsidR="00A11B9F" w:rsidRPr="001B31E0" w:rsidRDefault="00A11B9F" w:rsidP="00AB2EF5">
            <w:pPr>
              <w:spacing w:after="0"/>
              <w:rPr>
                <w:b/>
                <w:sz w:val="20"/>
                <w:szCs w:val="20"/>
              </w:rPr>
            </w:pPr>
            <w:r w:rsidRPr="001B31E0">
              <w:rPr>
                <w:b/>
                <w:sz w:val="20"/>
                <w:szCs w:val="20"/>
              </w:rPr>
              <w:t>Employed</w:t>
            </w:r>
          </w:p>
        </w:tc>
        <w:tc>
          <w:tcPr>
            <w:tcW w:w="624" w:type="pct"/>
            <w:tcBorders>
              <w:top w:val="single" w:sz="4" w:space="0" w:color="auto"/>
              <w:left w:val="single" w:sz="4" w:space="0" w:color="auto"/>
              <w:bottom w:val="single" w:sz="4" w:space="0" w:color="auto"/>
              <w:right w:val="single" w:sz="4" w:space="0" w:color="auto"/>
            </w:tcBorders>
            <w:vAlign w:val="center"/>
            <w:hideMark/>
          </w:tcPr>
          <w:p w14:paraId="57E6A357" w14:textId="77777777" w:rsidR="00A11B9F" w:rsidRPr="001B31E0" w:rsidRDefault="00A11B9F" w:rsidP="00AB2EF5">
            <w:pPr>
              <w:spacing w:after="0"/>
              <w:rPr>
                <w:sz w:val="20"/>
                <w:szCs w:val="20"/>
              </w:rPr>
            </w:pPr>
            <w:r w:rsidRPr="001B31E0">
              <w:rPr>
                <w:sz w:val="20"/>
                <w:szCs w:val="20"/>
              </w:rPr>
              <w:t>70,514</w:t>
            </w:r>
          </w:p>
        </w:tc>
        <w:tc>
          <w:tcPr>
            <w:tcW w:w="687" w:type="pct"/>
            <w:tcBorders>
              <w:top w:val="single" w:sz="4" w:space="0" w:color="auto"/>
              <w:left w:val="single" w:sz="4" w:space="0" w:color="auto"/>
              <w:bottom w:val="single" w:sz="4" w:space="0" w:color="auto"/>
              <w:right w:val="single" w:sz="4" w:space="0" w:color="auto"/>
            </w:tcBorders>
            <w:vAlign w:val="center"/>
            <w:hideMark/>
          </w:tcPr>
          <w:p w14:paraId="461523E3" w14:textId="77777777" w:rsidR="00A11B9F" w:rsidRPr="001B31E0" w:rsidRDefault="00A11B9F" w:rsidP="00AB2EF5">
            <w:pPr>
              <w:spacing w:after="0"/>
              <w:rPr>
                <w:sz w:val="20"/>
                <w:szCs w:val="20"/>
              </w:rPr>
            </w:pPr>
            <w:r w:rsidRPr="001B31E0">
              <w:rPr>
                <w:sz w:val="20"/>
                <w:szCs w:val="20"/>
              </w:rPr>
              <w:t>38,700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340E88CB" w14:textId="77777777" w:rsidR="00A11B9F" w:rsidRPr="001B31E0" w:rsidRDefault="00A11B9F" w:rsidP="00AB2EF5">
            <w:pPr>
              <w:spacing w:after="0"/>
              <w:rPr>
                <w:sz w:val="20"/>
                <w:szCs w:val="20"/>
              </w:rPr>
            </w:pPr>
            <w:r w:rsidRPr="001B31E0">
              <w:rPr>
                <w:sz w:val="20"/>
                <w:szCs w:val="20"/>
              </w:rPr>
              <w:t>75,445</w:t>
            </w:r>
          </w:p>
        </w:tc>
        <w:tc>
          <w:tcPr>
            <w:tcW w:w="736" w:type="pct"/>
            <w:tcBorders>
              <w:top w:val="single" w:sz="4" w:space="0" w:color="auto"/>
              <w:left w:val="single" w:sz="4" w:space="0" w:color="auto"/>
              <w:bottom w:val="single" w:sz="4" w:space="0" w:color="auto"/>
              <w:right w:val="single" w:sz="4" w:space="0" w:color="auto"/>
            </w:tcBorders>
            <w:vAlign w:val="center"/>
            <w:hideMark/>
          </w:tcPr>
          <w:p w14:paraId="2CA2989B" w14:textId="77777777" w:rsidR="00A11B9F" w:rsidRPr="001B31E0" w:rsidRDefault="00A11B9F" w:rsidP="00AB2EF5">
            <w:pPr>
              <w:spacing w:after="0"/>
              <w:rPr>
                <w:sz w:val="20"/>
                <w:szCs w:val="20"/>
              </w:rPr>
            </w:pPr>
            <w:r w:rsidRPr="001B31E0">
              <w:rPr>
                <w:sz w:val="20"/>
                <w:szCs w:val="20"/>
              </w:rPr>
              <w:t>57,100</w:t>
            </w:r>
          </w:p>
        </w:tc>
        <w:tc>
          <w:tcPr>
            <w:tcW w:w="573" w:type="pct"/>
            <w:tcBorders>
              <w:top w:val="single" w:sz="4" w:space="0" w:color="auto"/>
              <w:left w:val="single" w:sz="4" w:space="0" w:color="auto"/>
              <w:bottom w:val="single" w:sz="4" w:space="0" w:color="auto"/>
              <w:right w:val="single" w:sz="4" w:space="0" w:color="auto"/>
            </w:tcBorders>
            <w:vAlign w:val="center"/>
          </w:tcPr>
          <w:p w14:paraId="74C5495F" w14:textId="77777777" w:rsidR="00A11B9F" w:rsidRPr="001B31E0" w:rsidRDefault="00A11B9F" w:rsidP="00AB2EF5">
            <w:pPr>
              <w:spacing w:after="0"/>
              <w:rPr>
                <w:sz w:val="20"/>
                <w:szCs w:val="20"/>
              </w:rPr>
            </w:pPr>
            <w:r w:rsidRPr="001B31E0">
              <w:rPr>
                <w:sz w:val="20"/>
                <w:szCs w:val="20"/>
              </w:rPr>
              <w:t>78,838</w:t>
            </w:r>
          </w:p>
        </w:tc>
        <w:tc>
          <w:tcPr>
            <w:tcW w:w="573" w:type="pct"/>
            <w:tcBorders>
              <w:top w:val="single" w:sz="4" w:space="0" w:color="auto"/>
              <w:left w:val="single" w:sz="4" w:space="0" w:color="auto"/>
              <w:bottom w:val="single" w:sz="4" w:space="0" w:color="auto"/>
              <w:right w:val="single" w:sz="4" w:space="0" w:color="auto"/>
            </w:tcBorders>
          </w:tcPr>
          <w:p w14:paraId="4F9CC443" w14:textId="77777777" w:rsidR="00A11B9F" w:rsidRPr="001B31E0" w:rsidRDefault="004A77F9" w:rsidP="00AB2EF5">
            <w:pPr>
              <w:spacing w:after="0"/>
              <w:rPr>
                <w:sz w:val="20"/>
                <w:szCs w:val="20"/>
              </w:rPr>
            </w:pPr>
            <w:r w:rsidRPr="001B31E0">
              <w:rPr>
                <w:sz w:val="20"/>
                <w:szCs w:val="20"/>
              </w:rPr>
              <w:t>62,900</w:t>
            </w:r>
          </w:p>
        </w:tc>
      </w:tr>
      <w:tr w:rsidR="00A11B9F" w:rsidRPr="001B31E0" w14:paraId="41272383" w14:textId="77777777" w:rsidTr="00A11B9F">
        <w:trPr>
          <w:trHeight w:val="315"/>
        </w:trPr>
        <w:tc>
          <w:tcPr>
            <w:tcW w:w="1121" w:type="pct"/>
            <w:tcBorders>
              <w:top w:val="single" w:sz="4" w:space="0" w:color="auto"/>
              <w:left w:val="single" w:sz="4" w:space="0" w:color="auto"/>
              <w:bottom w:val="single" w:sz="4" w:space="0" w:color="auto"/>
              <w:right w:val="single" w:sz="4" w:space="0" w:color="auto"/>
            </w:tcBorders>
            <w:vAlign w:val="center"/>
            <w:hideMark/>
          </w:tcPr>
          <w:p w14:paraId="52D2B0B6" w14:textId="77777777" w:rsidR="00A11B9F" w:rsidRPr="001B31E0" w:rsidRDefault="00A11B9F" w:rsidP="00AB2EF5">
            <w:pPr>
              <w:spacing w:after="0"/>
              <w:rPr>
                <w:b/>
                <w:sz w:val="20"/>
                <w:szCs w:val="20"/>
              </w:rPr>
            </w:pPr>
            <w:r w:rsidRPr="001B31E0">
              <w:rPr>
                <w:b/>
                <w:sz w:val="20"/>
                <w:szCs w:val="20"/>
              </w:rPr>
              <w:t>Unemployed</w:t>
            </w:r>
          </w:p>
        </w:tc>
        <w:tc>
          <w:tcPr>
            <w:tcW w:w="624" w:type="pct"/>
            <w:tcBorders>
              <w:top w:val="single" w:sz="4" w:space="0" w:color="auto"/>
              <w:left w:val="single" w:sz="4" w:space="0" w:color="auto"/>
              <w:bottom w:val="single" w:sz="4" w:space="0" w:color="auto"/>
              <w:right w:val="single" w:sz="4" w:space="0" w:color="auto"/>
            </w:tcBorders>
            <w:vAlign w:val="center"/>
            <w:hideMark/>
          </w:tcPr>
          <w:p w14:paraId="77D20CF5" w14:textId="77777777" w:rsidR="00A11B9F" w:rsidRPr="001B31E0" w:rsidRDefault="00A11B9F" w:rsidP="00AB2EF5">
            <w:pPr>
              <w:spacing w:after="0"/>
              <w:rPr>
                <w:sz w:val="20"/>
                <w:szCs w:val="20"/>
              </w:rPr>
            </w:pPr>
            <w:r w:rsidRPr="001B31E0">
              <w:rPr>
                <w:sz w:val="20"/>
                <w:szCs w:val="20"/>
              </w:rPr>
              <w:t>n/a</w:t>
            </w:r>
          </w:p>
        </w:tc>
        <w:tc>
          <w:tcPr>
            <w:tcW w:w="687" w:type="pct"/>
            <w:tcBorders>
              <w:top w:val="single" w:sz="4" w:space="0" w:color="auto"/>
              <w:left w:val="single" w:sz="4" w:space="0" w:color="auto"/>
              <w:bottom w:val="single" w:sz="4" w:space="0" w:color="auto"/>
              <w:right w:val="single" w:sz="4" w:space="0" w:color="auto"/>
            </w:tcBorders>
            <w:vAlign w:val="center"/>
            <w:hideMark/>
          </w:tcPr>
          <w:p w14:paraId="504800D9" w14:textId="77777777" w:rsidR="00A11B9F" w:rsidRPr="001B31E0" w:rsidRDefault="00A11B9F" w:rsidP="00AB2EF5">
            <w:pPr>
              <w:spacing w:after="0"/>
              <w:rPr>
                <w:sz w:val="20"/>
                <w:szCs w:val="20"/>
              </w:rPr>
            </w:pPr>
            <w:r w:rsidRPr="001B31E0">
              <w:rPr>
                <w:sz w:val="20"/>
                <w:szCs w:val="20"/>
              </w:rPr>
              <w:t>9,500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755569C2" w14:textId="77777777" w:rsidR="00A11B9F" w:rsidRPr="001B31E0" w:rsidRDefault="00A11B9F" w:rsidP="00AB2EF5">
            <w:pPr>
              <w:spacing w:after="0"/>
              <w:rPr>
                <w:sz w:val="20"/>
                <w:szCs w:val="20"/>
              </w:rPr>
            </w:pPr>
            <w:r w:rsidRPr="001B31E0">
              <w:rPr>
                <w:sz w:val="20"/>
                <w:szCs w:val="20"/>
              </w:rPr>
              <w:t>n/a</w:t>
            </w:r>
          </w:p>
        </w:tc>
        <w:tc>
          <w:tcPr>
            <w:tcW w:w="736" w:type="pct"/>
            <w:tcBorders>
              <w:top w:val="single" w:sz="4" w:space="0" w:color="auto"/>
              <w:left w:val="single" w:sz="4" w:space="0" w:color="auto"/>
              <w:bottom w:val="single" w:sz="4" w:space="0" w:color="auto"/>
              <w:right w:val="single" w:sz="4" w:space="0" w:color="auto"/>
            </w:tcBorders>
            <w:vAlign w:val="center"/>
            <w:hideMark/>
          </w:tcPr>
          <w:p w14:paraId="68C72B04" w14:textId="77777777" w:rsidR="00A11B9F" w:rsidRPr="001B31E0" w:rsidRDefault="00A11B9F" w:rsidP="00AB2EF5">
            <w:pPr>
              <w:spacing w:after="0"/>
              <w:rPr>
                <w:sz w:val="20"/>
                <w:szCs w:val="20"/>
              </w:rPr>
            </w:pPr>
            <w:r w:rsidRPr="001B31E0">
              <w:rPr>
                <w:sz w:val="20"/>
                <w:szCs w:val="20"/>
              </w:rPr>
              <w:t>12,500</w:t>
            </w:r>
          </w:p>
        </w:tc>
        <w:tc>
          <w:tcPr>
            <w:tcW w:w="573" w:type="pct"/>
            <w:tcBorders>
              <w:top w:val="single" w:sz="4" w:space="0" w:color="auto"/>
              <w:left w:val="single" w:sz="4" w:space="0" w:color="auto"/>
              <w:bottom w:val="single" w:sz="4" w:space="0" w:color="auto"/>
              <w:right w:val="single" w:sz="4" w:space="0" w:color="auto"/>
            </w:tcBorders>
            <w:vAlign w:val="center"/>
          </w:tcPr>
          <w:p w14:paraId="3BCA15E4" w14:textId="77777777" w:rsidR="00A11B9F" w:rsidRPr="001B31E0" w:rsidRDefault="001B1373" w:rsidP="00AB2EF5">
            <w:pPr>
              <w:spacing w:after="0"/>
              <w:rPr>
                <w:sz w:val="20"/>
                <w:szCs w:val="20"/>
              </w:rPr>
            </w:pPr>
            <w:r w:rsidRPr="001B31E0">
              <w:rPr>
                <w:sz w:val="20"/>
                <w:szCs w:val="20"/>
              </w:rPr>
              <w:t>n/a</w:t>
            </w:r>
          </w:p>
        </w:tc>
        <w:tc>
          <w:tcPr>
            <w:tcW w:w="573" w:type="pct"/>
            <w:tcBorders>
              <w:top w:val="single" w:sz="4" w:space="0" w:color="auto"/>
              <w:left w:val="single" w:sz="4" w:space="0" w:color="auto"/>
              <w:bottom w:val="single" w:sz="4" w:space="0" w:color="auto"/>
              <w:right w:val="single" w:sz="4" w:space="0" w:color="auto"/>
            </w:tcBorders>
          </w:tcPr>
          <w:p w14:paraId="52B692B6" w14:textId="77777777" w:rsidR="00A11B9F" w:rsidRPr="001B31E0" w:rsidRDefault="001B1373" w:rsidP="00AB2EF5">
            <w:pPr>
              <w:spacing w:after="0"/>
              <w:rPr>
                <w:sz w:val="20"/>
                <w:szCs w:val="20"/>
              </w:rPr>
            </w:pPr>
            <w:r w:rsidRPr="001B31E0">
              <w:rPr>
                <w:sz w:val="20"/>
                <w:szCs w:val="20"/>
              </w:rPr>
              <w:t>10,800</w:t>
            </w:r>
          </w:p>
        </w:tc>
      </w:tr>
      <w:tr w:rsidR="00A11B9F" w:rsidRPr="001B31E0" w14:paraId="124C5BA2" w14:textId="77777777" w:rsidTr="00A11B9F">
        <w:trPr>
          <w:trHeight w:val="315"/>
        </w:trPr>
        <w:tc>
          <w:tcPr>
            <w:tcW w:w="1121" w:type="pct"/>
            <w:tcBorders>
              <w:top w:val="single" w:sz="4" w:space="0" w:color="auto"/>
              <w:left w:val="single" w:sz="4" w:space="0" w:color="auto"/>
              <w:bottom w:val="single" w:sz="4" w:space="0" w:color="auto"/>
              <w:right w:val="single" w:sz="4" w:space="0" w:color="auto"/>
            </w:tcBorders>
            <w:vAlign w:val="center"/>
            <w:hideMark/>
          </w:tcPr>
          <w:p w14:paraId="158A38CD" w14:textId="77777777" w:rsidR="00A11B9F" w:rsidRPr="001B31E0" w:rsidRDefault="00A11B9F" w:rsidP="00AB2EF5">
            <w:pPr>
              <w:spacing w:after="0"/>
              <w:rPr>
                <w:b/>
                <w:sz w:val="20"/>
                <w:szCs w:val="20"/>
              </w:rPr>
            </w:pPr>
            <w:r w:rsidRPr="001B31E0">
              <w:rPr>
                <w:b/>
                <w:sz w:val="20"/>
                <w:szCs w:val="20"/>
              </w:rPr>
              <w:t>Economically inactive</w:t>
            </w:r>
          </w:p>
        </w:tc>
        <w:tc>
          <w:tcPr>
            <w:tcW w:w="624" w:type="pct"/>
            <w:tcBorders>
              <w:top w:val="single" w:sz="4" w:space="0" w:color="auto"/>
              <w:left w:val="single" w:sz="4" w:space="0" w:color="auto"/>
              <w:bottom w:val="single" w:sz="4" w:space="0" w:color="auto"/>
              <w:right w:val="single" w:sz="4" w:space="0" w:color="auto"/>
            </w:tcBorders>
            <w:vAlign w:val="center"/>
            <w:hideMark/>
          </w:tcPr>
          <w:p w14:paraId="72B1CCA3" w14:textId="77777777" w:rsidR="00A11B9F" w:rsidRPr="001B31E0" w:rsidRDefault="00A11B9F" w:rsidP="00AB2EF5">
            <w:pPr>
              <w:spacing w:after="0"/>
              <w:rPr>
                <w:sz w:val="20"/>
                <w:szCs w:val="20"/>
              </w:rPr>
            </w:pPr>
            <w:r w:rsidRPr="001B31E0">
              <w:rPr>
                <w:sz w:val="20"/>
                <w:szCs w:val="20"/>
              </w:rPr>
              <w:t>n/a</w:t>
            </w:r>
          </w:p>
        </w:tc>
        <w:tc>
          <w:tcPr>
            <w:tcW w:w="687" w:type="pct"/>
            <w:tcBorders>
              <w:top w:val="single" w:sz="4" w:space="0" w:color="auto"/>
              <w:left w:val="single" w:sz="4" w:space="0" w:color="auto"/>
              <w:bottom w:val="single" w:sz="4" w:space="0" w:color="auto"/>
              <w:right w:val="single" w:sz="4" w:space="0" w:color="auto"/>
            </w:tcBorders>
            <w:vAlign w:val="center"/>
            <w:hideMark/>
          </w:tcPr>
          <w:p w14:paraId="2A0483F3" w14:textId="77777777" w:rsidR="00A11B9F" w:rsidRPr="001B31E0" w:rsidRDefault="00A11B9F" w:rsidP="00AB2EF5">
            <w:pPr>
              <w:spacing w:after="0"/>
              <w:rPr>
                <w:sz w:val="20"/>
                <w:szCs w:val="20"/>
              </w:rPr>
            </w:pPr>
            <w:r w:rsidRPr="001B31E0">
              <w:rPr>
                <w:sz w:val="20"/>
                <w:szCs w:val="20"/>
              </w:rPr>
              <w:t>239,100</w:t>
            </w:r>
          </w:p>
        </w:tc>
        <w:tc>
          <w:tcPr>
            <w:tcW w:w="686" w:type="pct"/>
            <w:tcBorders>
              <w:top w:val="single" w:sz="4" w:space="0" w:color="auto"/>
              <w:left w:val="single" w:sz="4" w:space="0" w:color="auto"/>
              <w:bottom w:val="single" w:sz="4" w:space="0" w:color="auto"/>
              <w:right w:val="single" w:sz="4" w:space="0" w:color="auto"/>
            </w:tcBorders>
            <w:vAlign w:val="center"/>
            <w:hideMark/>
          </w:tcPr>
          <w:p w14:paraId="0A46C923" w14:textId="77777777" w:rsidR="00A11B9F" w:rsidRPr="001B31E0" w:rsidRDefault="00A11B9F" w:rsidP="00AB2EF5">
            <w:pPr>
              <w:spacing w:after="0"/>
              <w:rPr>
                <w:sz w:val="20"/>
                <w:szCs w:val="20"/>
              </w:rPr>
            </w:pPr>
            <w:r w:rsidRPr="001B31E0">
              <w:rPr>
                <w:sz w:val="20"/>
                <w:szCs w:val="20"/>
              </w:rPr>
              <w:t>n/a</w:t>
            </w:r>
          </w:p>
        </w:tc>
        <w:tc>
          <w:tcPr>
            <w:tcW w:w="736" w:type="pct"/>
            <w:tcBorders>
              <w:top w:val="single" w:sz="4" w:space="0" w:color="auto"/>
              <w:left w:val="single" w:sz="4" w:space="0" w:color="auto"/>
              <w:bottom w:val="single" w:sz="4" w:space="0" w:color="auto"/>
              <w:right w:val="single" w:sz="4" w:space="0" w:color="auto"/>
            </w:tcBorders>
            <w:vAlign w:val="center"/>
            <w:hideMark/>
          </w:tcPr>
          <w:p w14:paraId="589EFE9B" w14:textId="77777777" w:rsidR="00A11B9F" w:rsidRPr="001B31E0" w:rsidRDefault="00A11B9F" w:rsidP="00AB2EF5">
            <w:pPr>
              <w:spacing w:after="0"/>
              <w:rPr>
                <w:sz w:val="20"/>
                <w:szCs w:val="20"/>
              </w:rPr>
            </w:pPr>
            <w:r w:rsidRPr="001B31E0">
              <w:rPr>
                <w:sz w:val="20"/>
                <w:szCs w:val="20"/>
              </w:rPr>
              <w:t>257,500</w:t>
            </w:r>
          </w:p>
        </w:tc>
        <w:tc>
          <w:tcPr>
            <w:tcW w:w="573" w:type="pct"/>
            <w:tcBorders>
              <w:top w:val="single" w:sz="4" w:space="0" w:color="auto"/>
              <w:left w:val="single" w:sz="4" w:space="0" w:color="auto"/>
              <w:bottom w:val="single" w:sz="4" w:space="0" w:color="auto"/>
              <w:right w:val="single" w:sz="4" w:space="0" w:color="auto"/>
            </w:tcBorders>
            <w:vAlign w:val="center"/>
          </w:tcPr>
          <w:p w14:paraId="669A77AB" w14:textId="77777777" w:rsidR="00A11B9F" w:rsidRPr="001B31E0" w:rsidRDefault="00725F1B" w:rsidP="00AB2EF5">
            <w:pPr>
              <w:spacing w:after="0"/>
              <w:rPr>
                <w:sz w:val="20"/>
                <w:szCs w:val="20"/>
              </w:rPr>
            </w:pPr>
            <w:r w:rsidRPr="001B31E0">
              <w:rPr>
                <w:sz w:val="20"/>
                <w:szCs w:val="20"/>
              </w:rPr>
              <w:t>n/a</w:t>
            </w:r>
          </w:p>
        </w:tc>
        <w:tc>
          <w:tcPr>
            <w:tcW w:w="573" w:type="pct"/>
            <w:tcBorders>
              <w:top w:val="single" w:sz="4" w:space="0" w:color="auto"/>
              <w:left w:val="single" w:sz="4" w:space="0" w:color="auto"/>
              <w:bottom w:val="single" w:sz="4" w:space="0" w:color="auto"/>
              <w:right w:val="single" w:sz="4" w:space="0" w:color="auto"/>
            </w:tcBorders>
          </w:tcPr>
          <w:p w14:paraId="4EEDC286" w14:textId="77777777" w:rsidR="00A11B9F" w:rsidRPr="001B31E0" w:rsidRDefault="00295585" w:rsidP="00AB2EF5">
            <w:pPr>
              <w:spacing w:after="0"/>
              <w:rPr>
                <w:sz w:val="20"/>
                <w:szCs w:val="20"/>
              </w:rPr>
            </w:pPr>
            <w:r w:rsidRPr="001B31E0">
              <w:rPr>
                <w:sz w:val="20"/>
                <w:szCs w:val="20"/>
              </w:rPr>
              <w:t>n/a</w:t>
            </w:r>
          </w:p>
        </w:tc>
      </w:tr>
    </w:tbl>
    <w:p w14:paraId="16641E3C" w14:textId="77777777" w:rsidR="00F84654" w:rsidRPr="005A62BD" w:rsidRDefault="00F84654" w:rsidP="00D73FC4">
      <w:pPr>
        <w:spacing w:after="0"/>
        <w:jc w:val="both"/>
        <w:rPr>
          <w:i/>
          <w:iCs/>
        </w:rPr>
      </w:pPr>
      <w:r w:rsidRPr="005A62BD">
        <w:rPr>
          <w:i/>
          <w:iCs/>
        </w:rPr>
        <w:t xml:space="preserve">Source: LFS, SIA </w:t>
      </w:r>
    </w:p>
    <w:p w14:paraId="19E8A91C" w14:textId="77777777" w:rsidR="00D54AB8" w:rsidRPr="005A62BD" w:rsidRDefault="00D54AB8" w:rsidP="00D73FC4">
      <w:pPr>
        <w:spacing w:after="0"/>
        <w:jc w:val="both"/>
      </w:pPr>
    </w:p>
    <w:p w14:paraId="0DAC4B53" w14:textId="3EA32AA3" w:rsidR="00F84654" w:rsidRPr="005A62BD" w:rsidRDefault="00F84654" w:rsidP="00D73FC4">
      <w:pPr>
        <w:spacing w:after="0"/>
        <w:jc w:val="both"/>
      </w:pPr>
      <w:r w:rsidRPr="005A62BD">
        <w:t xml:space="preserve">The table </w:t>
      </w:r>
      <w:r w:rsidR="00D54AB8" w:rsidRPr="005A62BD">
        <w:t xml:space="preserve">indicates </w:t>
      </w:r>
      <w:r w:rsidRPr="005A62BD">
        <w:t>that</w:t>
      </w:r>
      <w:r w:rsidR="00D54AB8" w:rsidRPr="005A62BD">
        <w:t>,</w:t>
      </w:r>
      <w:r w:rsidRPr="005A62BD">
        <w:t xml:space="preserve"> based on the administrative data, both</w:t>
      </w:r>
      <w:r w:rsidR="00D54AB8" w:rsidRPr="005A62BD">
        <w:t xml:space="preserve"> the</w:t>
      </w:r>
      <w:r w:rsidRPr="005A62BD">
        <w:t xml:space="preserve"> number of people with disabilities (persons receiving disability pension) as well as the number of employed people with disabilities has slightly increased</w:t>
      </w:r>
      <w:r w:rsidR="00D54AB8" w:rsidRPr="005A62BD">
        <w:t xml:space="preserve"> in </w:t>
      </w:r>
      <w:r w:rsidR="00214EB6" w:rsidRPr="005A62BD">
        <w:t xml:space="preserve">given </w:t>
      </w:r>
      <w:r w:rsidR="00D54AB8" w:rsidRPr="005A62BD">
        <w:t>period</w:t>
      </w:r>
      <w:r w:rsidRPr="005A62BD">
        <w:t xml:space="preserve">. However, this is </w:t>
      </w:r>
      <w:r w:rsidR="00D54AB8" w:rsidRPr="005A62BD">
        <w:t xml:space="preserve">a marginal increase </w:t>
      </w:r>
      <w:r w:rsidRPr="005A62BD">
        <w:t xml:space="preserve">from 31.38% </w:t>
      </w:r>
      <w:r w:rsidR="008D3999" w:rsidRPr="005A62BD">
        <w:t xml:space="preserve">in 2014 </w:t>
      </w:r>
      <w:r w:rsidRPr="005A62BD">
        <w:t>on 32.18% of employed persons receiving disability pension</w:t>
      </w:r>
      <w:r w:rsidR="008D3999" w:rsidRPr="005A62BD">
        <w:t xml:space="preserve"> in 2015</w:t>
      </w:r>
      <w:r w:rsidRPr="005A62BD">
        <w:t xml:space="preserve">. </w:t>
      </w:r>
    </w:p>
    <w:p w14:paraId="158B703B" w14:textId="51ABA5AD" w:rsidR="00EC38CC" w:rsidRPr="005A62BD" w:rsidRDefault="00EC38CC" w:rsidP="00AB2EF5">
      <w:pPr>
        <w:spacing w:after="0"/>
        <w:rPr>
          <w:rFonts w:eastAsia="SimSun"/>
          <w:b/>
          <w:bCs/>
        </w:rPr>
      </w:pPr>
    </w:p>
    <w:p w14:paraId="0F6D9C8C" w14:textId="677CFD86" w:rsidR="0017541C" w:rsidRPr="009E13D0" w:rsidRDefault="009E13D0" w:rsidP="009E13D0">
      <w:pPr>
        <w:pStyle w:val="Heading3"/>
      </w:pPr>
      <w:bookmarkStart w:id="7" w:name="_Toc499120871"/>
      <w:r w:rsidRPr="009E13D0">
        <w:t>Unemployment</w:t>
      </w:r>
      <w:bookmarkEnd w:id="7"/>
      <w:r w:rsidRPr="009E13D0">
        <w:t xml:space="preserve"> </w:t>
      </w:r>
    </w:p>
    <w:p w14:paraId="27F6C916" w14:textId="77777777" w:rsidR="009E13D0" w:rsidRPr="005A62BD" w:rsidRDefault="009E13D0" w:rsidP="00D73FC4">
      <w:pPr>
        <w:spacing w:after="0"/>
        <w:jc w:val="both"/>
      </w:pPr>
    </w:p>
    <w:p w14:paraId="6332866D" w14:textId="5C7364CC" w:rsidR="001066EA" w:rsidRDefault="001066EA" w:rsidP="00D73FC4">
      <w:pPr>
        <w:pStyle w:val="BodyText"/>
        <w:spacing w:after="0"/>
        <w:jc w:val="both"/>
      </w:pPr>
      <w:r w:rsidRPr="005A62BD">
        <w:t>National administrative rules and definitions of ‘unemployment’ vary, and these may affect the way in which disabled people are categorised in different countries. The following tables compare national data with the EU2020 headline indicator for the EU</w:t>
      </w:r>
      <w:r w:rsidR="000F179F">
        <w:t>.</w:t>
      </w:r>
    </w:p>
    <w:p w14:paraId="0558528D" w14:textId="77777777" w:rsidR="000F179F" w:rsidRPr="005A62BD" w:rsidRDefault="000F179F" w:rsidP="00D73FC4">
      <w:pPr>
        <w:pStyle w:val="BodyText"/>
        <w:spacing w:after="0"/>
        <w:jc w:val="both"/>
      </w:pPr>
    </w:p>
    <w:p w14:paraId="245BFB1C" w14:textId="77777777" w:rsidR="001066EA" w:rsidRPr="005A62BD" w:rsidRDefault="001066EA" w:rsidP="00AB2EF5">
      <w:pPr>
        <w:pStyle w:val="Caption"/>
        <w:keepNext/>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6</w:t>
      </w:r>
      <w:r w:rsidR="00AB2EF5" w:rsidRPr="005A62BD">
        <w:rPr>
          <w:noProof/>
          <w:sz w:val="24"/>
          <w:szCs w:val="24"/>
        </w:rPr>
        <w:fldChar w:fldCharType="end"/>
      </w:r>
      <w:r w:rsidRPr="005A62BD">
        <w:rPr>
          <w:noProof/>
          <w:sz w:val="24"/>
          <w:szCs w:val="24"/>
        </w:rPr>
        <w:t>: Most recent unemployment data, aged 20-64</w:t>
      </w:r>
    </w:p>
    <w:p w14:paraId="77BD3025" w14:textId="77777777" w:rsidR="001066EA" w:rsidRPr="005A62BD" w:rsidRDefault="001066EA" w:rsidP="00AB2EF5">
      <w:pPr>
        <w:spacing w:after="0"/>
      </w:pPr>
      <w:r w:rsidRPr="005A62BD">
        <w:rPr>
          <w:noProof/>
          <w:lang w:eastAsia="zh-CN"/>
        </w:rPr>
        <w:drawing>
          <wp:inline distT="0" distB="0" distL="0" distR="0" wp14:anchorId="4858F1B0" wp14:editId="173CCAE7">
            <wp:extent cx="5583044" cy="2594517"/>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ECE684" w14:textId="4C31EA5A" w:rsidR="001066EA" w:rsidRPr="005A62BD" w:rsidRDefault="001066EA"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31F84FFE" w14:textId="77777777" w:rsidR="00AB2EF5" w:rsidRPr="005A62BD" w:rsidRDefault="00AB2EF5" w:rsidP="00AB2EF5">
      <w:pPr>
        <w:pStyle w:val="Sourcereference"/>
        <w:spacing w:after="0"/>
        <w:rPr>
          <w:sz w:val="24"/>
          <w:lang w:eastAsia="en-GB"/>
        </w:rPr>
      </w:pPr>
    </w:p>
    <w:p w14:paraId="2E541F29" w14:textId="77777777" w:rsidR="001066EA" w:rsidRPr="005A62BD" w:rsidRDefault="001066EA" w:rsidP="00AB2EF5">
      <w:pPr>
        <w:pStyle w:val="Caption"/>
        <w:spacing w:after="0"/>
        <w:rPr>
          <w:sz w:val="24"/>
          <w:szCs w:val="24"/>
        </w:rPr>
      </w:pPr>
      <w:r w:rsidRPr="005A62BD">
        <w:rPr>
          <w:sz w:val="24"/>
          <w:szCs w:val="24"/>
        </w:rPr>
        <w:lastRenderedPageBreak/>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7</w:t>
      </w:r>
      <w:r w:rsidR="00AB2EF5" w:rsidRPr="005A62BD">
        <w:rPr>
          <w:noProof/>
          <w:sz w:val="24"/>
          <w:szCs w:val="24"/>
        </w:rPr>
        <w:fldChar w:fldCharType="end"/>
      </w:r>
      <w:r w:rsidRPr="005A62BD">
        <w:rPr>
          <w:sz w:val="24"/>
          <w:szCs w:val="24"/>
        </w:rPr>
        <w:t>: Unemployment rate data, by age group</w:t>
      </w:r>
    </w:p>
    <w:p w14:paraId="6C3C2D20" w14:textId="77777777" w:rsidR="001066EA" w:rsidRPr="005A62BD" w:rsidRDefault="001066EA" w:rsidP="00AB2EF5">
      <w:pPr>
        <w:spacing w:after="0"/>
      </w:pPr>
      <w:r w:rsidRPr="005A62BD">
        <w:rPr>
          <w:noProof/>
          <w:lang w:eastAsia="zh-CN"/>
        </w:rPr>
        <w:drawing>
          <wp:inline distT="0" distB="0" distL="0" distR="0" wp14:anchorId="1240AADB" wp14:editId="55E74A1B">
            <wp:extent cx="5583044" cy="2668858"/>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9C1E88" w14:textId="79C6C75F" w:rsidR="001066EA" w:rsidRPr="005A62BD" w:rsidRDefault="001066EA" w:rsidP="00D73FC4">
      <w:pPr>
        <w:pStyle w:val="Sourcereference"/>
        <w:spacing w:after="0"/>
        <w:jc w:val="both"/>
        <w:rPr>
          <w:sz w:val="24"/>
          <w:lang w:eastAsia="en-GB"/>
        </w:rPr>
      </w:pPr>
      <w:r w:rsidRPr="005A62BD">
        <w:rPr>
          <w:sz w:val="24"/>
        </w:rPr>
        <w:t xml:space="preserve">Source: </w:t>
      </w:r>
      <w:r w:rsidRPr="005A62BD">
        <w:rPr>
          <w:sz w:val="24"/>
          <w:lang w:eastAsia="en-GB"/>
        </w:rPr>
        <w:t>EUSILC UDB 2015 – version of October 2017</w:t>
      </w:r>
    </w:p>
    <w:p w14:paraId="59DB7521" w14:textId="77777777" w:rsidR="00AB2EF5" w:rsidRPr="005A62BD" w:rsidRDefault="00AB2EF5" w:rsidP="00D73FC4">
      <w:pPr>
        <w:pStyle w:val="Sourcereference"/>
        <w:spacing w:after="0"/>
        <w:jc w:val="both"/>
        <w:rPr>
          <w:sz w:val="24"/>
          <w:lang w:eastAsia="en-GB"/>
        </w:rPr>
      </w:pPr>
    </w:p>
    <w:p w14:paraId="0F4C35A1" w14:textId="77777777" w:rsidR="001066EA" w:rsidRPr="005A62BD" w:rsidRDefault="001066EA" w:rsidP="00D73FC4">
      <w:pPr>
        <w:pStyle w:val="Sourcereference"/>
        <w:spacing w:after="0"/>
        <w:jc w:val="both"/>
        <w:rPr>
          <w:sz w:val="24"/>
          <w:lang w:eastAsia="en-GB"/>
        </w:rPr>
      </w:pPr>
      <w:r w:rsidRPr="005A62BD">
        <w:rPr>
          <w:sz w:val="24"/>
          <w:lang w:eastAsia="en-GB"/>
        </w:rPr>
        <w:t>Note: there has been considerable variance between years in the Slovakian unemployment estimate for the youngest age group (the smallest sample category), although it remains very high.</w:t>
      </w:r>
    </w:p>
    <w:p w14:paraId="79B21C61" w14:textId="77777777" w:rsidR="001066EA" w:rsidRPr="005A62BD" w:rsidRDefault="001066EA" w:rsidP="00AB2EF5">
      <w:pPr>
        <w:spacing w:after="0"/>
        <w:rPr>
          <w:lang w:eastAsia="en-GB"/>
        </w:rPr>
      </w:pPr>
    </w:p>
    <w:p w14:paraId="40F7AC99" w14:textId="77777777" w:rsidR="001066EA" w:rsidRPr="005A62BD" w:rsidRDefault="001066EA" w:rsidP="00AB2EF5">
      <w:pPr>
        <w:pStyle w:val="Caption"/>
        <w:keepNext/>
        <w:spacing w:after="0"/>
        <w:rPr>
          <w:sz w:val="24"/>
          <w:szCs w:val="24"/>
        </w:rPr>
      </w:pPr>
      <w:r w:rsidRPr="005A62BD">
        <w:rPr>
          <w:sz w:val="24"/>
          <w:szCs w:val="24"/>
        </w:rPr>
        <w:lastRenderedPageBreak/>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8</w:t>
      </w:r>
      <w:r w:rsidR="00AB2EF5" w:rsidRPr="005A62BD">
        <w:rPr>
          <w:noProof/>
          <w:sz w:val="24"/>
          <w:szCs w:val="24"/>
        </w:rPr>
        <w:fldChar w:fldCharType="end"/>
      </w:r>
      <w:r w:rsidRPr="005A62BD">
        <w:rPr>
          <w:sz w:val="24"/>
          <w:szCs w:val="24"/>
        </w:rPr>
        <w:t>: Trends in unemployment by gender and disability (aged 20-64)</w:t>
      </w:r>
    </w:p>
    <w:p w14:paraId="78A5510E" w14:textId="77777777" w:rsidR="001066EA" w:rsidRPr="005A62BD" w:rsidRDefault="001066EA" w:rsidP="00AB2EF5">
      <w:pPr>
        <w:spacing w:after="0"/>
      </w:pPr>
      <w:r w:rsidRPr="005A62BD">
        <w:rPr>
          <w:noProof/>
          <w:lang w:eastAsia="zh-CN"/>
        </w:rPr>
        <w:drawing>
          <wp:inline distT="0" distB="0" distL="0" distR="0" wp14:anchorId="2512D0A4" wp14:editId="5DDAED75">
            <wp:extent cx="5486400" cy="4638675"/>
            <wp:effectExtent l="0" t="0" r="1905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23805E" w14:textId="3D3D93E0" w:rsidR="001066EA" w:rsidRPr="005A62BD" w:rsidRDefault="001066EA"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 (and preceding UDBs)</w:t>
      </w:r>
    </w:p>
    <w:p w14:paraId="7E5EC6F9" w14:textId="77777777" w:rsidR="00AB2EF5" w:rsidRPr="005A62BD" w:rsidRDefault="00AB2EF5" w:rsidP="00D73FC4">
      <w:pPr>
        <w:pStyle w:val="Sourcereference"/>
        <w:spacing w:after="0"/>
        <w:jc w:val="both"/>
        <w:rPr>
          <w:sz w:val="24"/>
          <w:lang w:eastAsia="en-GB"/>
        </w:rPr>
      </w:pPr>
    </w:p>
    <w:p w14:paraId="75BFB45C" w14:textId="5BC3071F" w:rsidR="00EA5FB9" w:rsidRPr="005A62BD" w:rsidRDefault="001066EA" w:rsidP="00D73FC4">
      <w:pPr>
        <w:spacing w:after="0"/>
        <w:jc w:val="both"/>
      </w:pPr>
      <w:r w:rsidRPr="005A62BD">
        <w:rPr>
          <w:lang w:eastAsia="en-GB"/>
        </w:rPr>
        <w:t>Fluctuations in the gendered tends for people with impairments should be treated with caution, although the pattern is somewhat similar for those without. It is difficult to interpret the Slovakian disability trends precisely. An indicative trend line is shown for illustration only</w:t>
      </w:r>
      <w:r w:rsidR="00EA5FB9" w:rsidRPr="005A62BD">
        <w:t>.</w:t>
      </w:r>
    </w:p>
    <w:p w14:paraId="56771160" w14:textId="77777777" w:rsidR="0017541C" w:rsidRPr="005A62BD" w:rsidRDefault="0017541C" w:rsidP="00D73FC4">
      <w:pPr>
        <w:spacing w:after="0"/>
        <w:jc w:val="both"/>
        <w:rPr>
          <w:i/>
        </w:rPr>
      </w:pPr>
    </w:p>
    <w:p w14:paraId="30E275B4" w14:textId="77777777" w:rsidR="00561FF5" w:rsidRPr="005A62BD" w:rsidRDefault="00082E6D" w:rsidP="00D73FC4">
      <w:pPr>
        <w:pStyle w:val="Un-numberedsubheading"/>
        <w:spacing w:after="0"/>
        <w:jc w:val="both"/>
      </w:pPr>
      <w:r w:rsidRPr="005A62BD">
        <w:t>Alternative data on disability and unemployment from national sources</w:t>
      </w:r>
      <w:r w:rsidR="0097104F" w:rsidRPr="005A62BD">
        <w:t>:</w:t>
      </w:r>
    </w:p>
    <w:p w14:paraId="7ACA4E75" w14:textId="77777777" w:rsidR="0017541C" w:rsidRPr="005A62BD" w:rsidRDefault="0017541C" w:rsidP="00D73FC4">
      <w:pPr>
        <w:pStyle w:val="Un-numberedsubheading"/>
        <w:spacing w:after="0"/>
        <w:jc w:val="both"/>
      </w:pPr>
    </w:p>
    <w:p w14:paraId="3E30D710" w14:textId="4DC77421" w:rsidR="00321FD5" w:rsidRPr="005A62BD" w:rsidRDefault="00321FD5" w:rsidP="00D73FC4">
      <w:pPr>
        <w:spacing w:after="0"/>
        <w:jc w:val="both"/>
      </w:pPr>
      <w:r w:rsidRPr="005A62BD">
        <w:t xml:space="preserve">The alternative national data (LFS data) on disability and unemployment have been provided </w:t>
      </w:r>
      <w:r w:rsidR="00D65CFF" w:rsidRPr="005A62BD">
        <w:t xml:space="preserve">by </w:t>
      </w:r>
      <w:r w:rsidRPr="005A62BD">
        <w:t>the Statistical Office of the Slovak Republic.</w:t>
      </w:r>
    </w:p>
    <w:p w14:paraId="35E73FEF" w14:textId="77777777" w:rsidR="000E4188" w:rsidRPr="005A62BD" w:rsidRDefault="000E4188" w:rsidP="00AB2EF5">
      <w:pPr>
        <w:spacing w:after="0"/>
      </w:pPr>
    </w:p>
    <w:p w14:paraId="63EC54D7" w14:textId="77777777" w:rsidR="00AB2EF5" w:rsidRPr="005A62BD" w:rsidRDefault="00AB2EF5" w:rsidP="00AB2EF5">
      <w:pPr>
        <w:spacing w:after="0"/>
        <w:rPr>
          <w:rFonts w:eastAsia="Times New Roman"/>
          <w:i/>
          <w:lang w:eastAsia="cs-CZ"/>
        </w:rPr>
      </w:pPr>
      <w:bookmarkStart w:id="8" w:name="_Toc472086419"/>
      <w:r w:rsidRPr="005A62BD">
        <w:br w:type="page"/>
      </w:r>
    </w:p>
    <w:p w14:paraId="4534AAB3" w14:textId="4E188E52" w:rsidR="00C1420E" w:rsidRPr="005A62BD" w:rsidRDefault="0074740E" w:rsidP="00AB2EF5">
      <w:pPr>
        <w:pStyle w:val="Graf"/>
        <w:spacing w:after="0" w:line="240" w:lineRule="auto"/>
        <w:jc w:val="left"/>
        <w:rPr>
          <w:rFonts w:ascii="Arial" w:hAnsi="Arial" w:cs="Arial"/>
          <w:lang w:val="en-GB"/>
        </w:rPr>
      </w:pPr>
      <w:r w:rsidRPr="005A62BD">
        <w:rPr>
          <w:rFonts w:ascii="Arial" w:hAnsi="Arial" w:cs="Arial"/>
          <w:lang w:val="en-GB"/>
        </w:rPr>
        <w:lastRenderedPageBreak/>
        <w:t>Graph</w:t>
      </w:r>
      <w:r w:rsidR="001C30FE" w:rsidRPr="005A62BD">
        <w:rPr>
          <w:rFonts w:ascii="Arial" w:hAnsi="Arial" w:cs="Arial"/>
          <w:lang w:val="en-GB"/>
        </w:rPr>
        <w:t xml:space="preserve">: </w:t>
      </w:r>
      <w:r w:rsidRPr="005A62BD">
        <w:rPr>
          <w:rFonts w:ascii="Arial" w:hAnsi="Arial" w:cs="Arial"/>
          <w:lang w:val="en-GB"/>
        </w:rPr>
        <w:t xml:space="preserve">Unemployment data by age and disability </w:t>
      </w:r>
      <w:r w:rsidR="001C30FE" w:rsidRPr="005A62BD">
        <w:rPr>
          <w:rFonts w:ascii="Arial" w:hAnsi="Arial" w:cs="Arial"/>
          <w:lang w:val="en-GB"/>
        </w:rPr>
        <w:t>(2015)</w:t>
      </w:r>
      <w:bookmarkEnd w:id="8"/>
    </w:p>
    <w:p w14:paraId="10855FE2" w14:textId="1924EA08" w:rsidR="00C1420E" w:rsidRPr="005A62BD" w:rsidRDefault="00C1420E" w:rsidP="00AB2EF5">
      <w:pPr>
        <w:pStyle w:val="Zdroj"/>
        <w:spacing w:after="0" w:line="240" w:lineRule="auto"/>
        <w:jc w:val="left"/>
        <w:rPr>
          <w:rFonts w:ascii="Arial" w:hAnsi="Arial"/>
          <w:sz w:val="24"/>
          <w:szCs w:val="24"/>
          <w:lang w:val="en-GB"/>
        </w:rPr>
      </w:pPr>
      <w:r w:rsidRPr="005A62BD">
        <w:rPr>
          <w:rFonts w:ascii="Arial" w:hAnsi="Arial"/>
          <w:noProof/>
          <w:sz w:val="24"/>
          <w:szCs w:val="24"/>
          <w:lang w:val="en-GB" w:eastAsia="zh-CN"/>
        </w:rPr>
        <w:drawing>
          <wp:inline distT="0" distB="0" distL="0" distR="0" wp14:anchorId="3833054E" wp14:editId="0D12E4E6">
            <wp:extent cx="5305425" cy="2505075"/>
            <wp:effectExtent l="0" t="0" r="9525" b="952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2C7258" w14:textId="62AE912D" w:rsidR="001C30FE" w:rsidRPr="005A62BD" w:rsidRDefault="001C30FE" w:rsidP="00D73FC4">
      <w:pPr>
        <w:pStyle w:val="Zdroj"/>
        <w:spacing w:after="0" w:line="240" w:lineRule="auto"/>
        <w:rPr>
          <w:rFonts w:ascii="Arial" w:hAnsi="Arial"/>
          <w:i/>
          <w:sz w:val="24"/>
          <w:szCs w:val="24"/>
          <w:lang w:val="en-GB"/>
        </w:rPr>
      </w:pPr>
      <w:r w:rsidRPr="005A62BD">
        <w:rPr>
          <w:rFonts w:ascii="Arial" w:hAnsi="Arial"/>
          <w:i/>
          <w:sz w:val="24"/>
          <w:szCs w:val="24"/>
          <w:lang w:val="en-GB"/>
        </w:rPr>
        <w:t xml:space="preserve">Source: </w:t>
      </w:r>
      <w:r w:rsidR="00BA25CA" w:rsidRPr="005A62BD">
        <w:rPr>
          <w:rFonts w:ascii="Arial" w:hAnsi="Arial"/>
          <w:bCs/>
          <w:i/>
          <w:sz w:val="24"/>
          <w:szCs w:val="24"/>
          <w:lang w:val="en-GB"/>
        </w:rPr>
        <w:t xml:space="preserve">LFS UDB 2015 (Statistical Office of the </w:t>
      </w:r>
      <w:r w:rsidR="00AB2EF5" w:rsidRPr="005A62BD">
        <w:rPr>
          <w:rFonts w:ascii="Arial" w:hAnsi="Arial"/>
          <w:bCs/>
          <w:i/>
          <w:sz w:val="24"/>
          <w:szCs w:val="24"/>
          <w:lang w:val="en-GB"/>
        </w:rPr>
        <w:t xml:space="preserve">Slovak Republic, October </w:t>
      </w:r>
      <w:r w:rsidR="00BA25CA" w:rsidRPr="005A62BD">
        <w:rPr>
          <w:rFonts w:ascii="Arial" w:hAnsi="Arial"/>
          <w:bCs/>
          <w:i/>
          <w:sz w:val="24"/>
          <w:szCs w:val="24"/>
          <w:lang w:val="en-GB"/>
        </w:rPr>
        <w:t>2016)</w:t>
      </w:r>
    </w:p>
    <w:p w14:paraId="0AE81F5A" w14:textId="5FE132C8" w:rsidR="00D47BAE" w:rsidRPr="005A62BD" w:rsidRDefault="00D47BAE" w:rsidP="00D73FC4">
      <w:pPr>
        <w:spacing w:after="0"/>
        <w:jc w:val="both"/>
        <w:rPr>
          <w:bCs/>
        </w:rPr>
      </w:pPr>
    </w:p>
    <w:p w14:paraId="060785FB" w14:textId="7EB06C62" w:rsidR="00381A09" w:rsidRPr="005A62BD" w:rsidRDefault="00381A09" w:rsidP="00D73FC4">
      <w:pPr>
        <w:spacing w:after="0"/>
        <w:jc w:val="both"/>
      </w:pPr>
      <w:r w:rsidRPr="005A62BD">
        <w:t>Besides that, there are administrative data on registered job-seekers, collected by the Central Office of Labour, Social Affairs and Family (</w:t>
      </w:r>
      <w:proofErr w:type="spellStart"/>
      <w:r w:rsidRPr="005A62BD">
        <w:t>COLSaF</w:t>
      </w:r>
      <w:proofErr w:type="spellEnd"/>
      <w:r w:rsidRPr="005A62BD">
        <w:t xml:space="preserve">). Based on that data, the </w:t>
      </w:r>
      <w:r w:rsidR="00FF0FCA" w:rsidRPr="005A62BD">
        <w:t xml:space="preserve">share </w:t>
      </w:r>
      <w:r w:rsidRPr="005A62BD">
        <w:t xml:space="preserve">of disabled job-seekers </w:t>
      </w:r>
      <w:r w:rsidR="00FF0FCA" w:rsidRPr="005A62BD">
        <w:t xml:space="preserve">on total population of job-seekers </w:t>
      </w:r>
      <w:r w:rsidRPr="005A62BD">
        <w:t>was in 201</w:t>
      </w:r>
      <w:r w:rsidR="00FF0FCA" w:rsidRPr="005A62BD">
        <w:t>6</w:t>
      </w:r>
      <w:r w:rsidRPr="005A62BD">
        <w:t xml:space="preserve"> just 3.</w:t>
      </w:r>
      <w:r w:rsidR="00265DB8" w:rsidRPr="005A62BD">
        <w:t>59</w:t>
      </w:r>
      <w:r w:rsidRPr="005A62BD">
        <w:t xml:space="preserve">%. </w:t>
      </w:r>
      <w:r w:rsidR="00585339" w:rsidRPr="005A62BD">
        <w:t>T</w:t>
      </w:r>
      <w:r w:rsidRPr="005A62BD">
        <w:t xml:space="preserve">he following table shows the numbers of disabled and non-disabled registered job-seekers </w:t>
      </w:r>
      <w:r w:rsidR="00265DB8" w:rsidRPr="005A62BD">
        <w:t>betwee</w:t>
      </w:r>
      <w:r w:rsidRPr="005A62BD">
        <w:t xml:space="preserve">n 2013 </w:t>
      </w:r>
      <w:r w:rsidR="00265DB8" w:rsidRPr="005A62BD">
        <w:t>and 2016</w:t>
      </w:r>
      <w:r w:rsidRPr="005A62BD">
        <w:t xml:space="preserve">. </w:t>
      </w:r>
    </w:p>
    <w:p w14:paraId="69ABB031" w14:textId="77777777" w:rsidR="00381A09" w:rsidRPr="005A62BD" w:rsidRDefault="00381A09" w:rsidP="00AB2EF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586"/>
        <w:gridCol w:w="1545"/>
        <w:gridCol w:w="1447"/>
        <w:gridCol w:w="1390"/>
        <w:gridCol w:w="1641"/>
      </w:tblGrid>
      <w:tr w:rsidR="003160F2" w:rsidRPr="001B31E0" w14:paraId="26F33350" w14:textId="77777777" w:rsidTr="003B54BB">
        <w:tc>
          <w:tcPr>
            <w:tcW w:w="9286" w:type="dxa"/>
            <w:gridSpan w:val="6"/>
            <w:tcBorders>
              <w:top w:val="single" w:sz="4" w:space="0" w:color="auto"/>
              <w:left w:val="single" w:sz="4" w:space="0" w:color="auto"/>
              <w:bottom w:val="single" w:sz="4" w:space="0" w:color="auto"/>
              <w:right w:val="single" w:sz="4" w:space="0" w:color="auto"/>
            </w:tcBorders>
          </w:tcPr>
          <w:p w14:paraId="7F637E5A" w14:textId="77777777" w:rsidR="003160F2" w:rsidRPr="001B31E0" w:rsidRDefault="003160F2" w:rsidP="00AB2EF5">
            <w:pPr>
              <w:spacing w:after="0"/>
              <w:rPr>
                <w:b/>
                <w:bCs/>
                <w:sz w:val="20"/>
                <w:szCs w:val="20"/>
              </w:rPr>
            </w:pPr>
            <w:r w:rsidRPr="001B31E0">
              <w:rPr>
                <w:b/>
                <w:sz w:val="20"/>
                <w:szCs w:val="20"/>
              </w:rPr>
              <w:t>Average number of registered job-seekers</w:t>
            </w:r>
          </w:p>
        </w:tc>
      </w:tr>
      <w:tr w:rsidR="00265DB8" w:rsidRPr="001B31E0" w14:paraId="64E1E46C" w14:textId="77777777" w:rsidTr="003160F2">
        <w:tc>
          <w:tcPr>
            <w:tcW w:w="1677" w:type="dxa"/>
            <w:tcBorders>
              <w:top w:val="single" w:sz="4" w:space="0" w:color="auto"/>
              <w:left w:val="single" w:sz="4" w:space="0" w:color="auto"/>
              <w:bottom w:val="single" w:sz="4" w:space="0" w:color="auto"/>
              <w:right w:val="single" w:sz="4" w:space="0" w:color="auto"/>
            </w:tcBorders>
          </w:tcPr>
          <w:p w14:paraId="5B045E33" w14:textId="77777777" w:rsidR="00265DB8" w:rsidRPr="001B31E0" w:rsidRDefault="00265DB8" w:rsidP="00AB2EF5">
            <w:pPr>
              <w:spacing w:after="0"/>
              <w:rPr>
                <w:b/>
                <w:bCs/>
                <w:sz w:val="20"/>
                <w:szCs w:val="20"/>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19EB812" w14:textId="77777777" w:rsidR="00265DB8" w:rsidRPr="001B31E0" w:rsidRDefault="00265DB8" w:rsidP="003160F2">
            <w:pPr>
              <w:spacing w:after="0"/>
              <w:jc w:val="center"/>
              <w:rPr>
                <w:b/>
                <w:bCs/>
                <w:sz w:val="20"/>
                <w:szCs w:val="20"/>
              </w:rPr>
            </w:pPr>
            <w:r w:rsidRPr="001B31E0">
              <w:rPr>
                <w:b/>
                <w:bCs/>
                <w:sz w:val="20"/>
                <w:szCs w:val="20"/>
              </w:rPr>
              <w:t>2013</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10879CF" w14:textId="77777777" w:rsidR="00265DB8" w:rsidRPr="001B31E0" w:rsidRDefault="00265DB8" w:rsidP="003160F2">
            <w:pPr>
              <w:spacing w:after="0"/>
              <w:jc w:val="center"/>
              <w:rPr>
                <w:b/>
                <w:bCs/>
                <w:sz w:val="20"/>
                <w:szCs w:val="20"/>
              </w:rPr>
            </w:pPr>
            <w:r w:rsidRPr="001B31E0">
              <w:rPr>
                <w:b/>
                <w:bCs/>
                <w:sz w:val="20"/>
                <w:szCs w:val="20"/>
              </w:rPr>
              <w:t>2014</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D35C9EC" w14:textId="77777777" w:rsidR="00265DB8" w:rsidRPr="001B31E0" w:rsidRDefault="00265DB8" w:rsidP="003160F2">
            <w:pPr>
              <w:spacing w:after="0"/>
              <w:jc w:val="center"/>
              <w:rPr>
                <w:b/>
                <w:bCs/>
                <w:sz w:val="20"/>
                <w:szCs w:val="20"/>
              </w:rPr>
            </w:pPr>
            <w:r w:rsidRPr="001B31E0">
              <w:rPr>
                <w:b/>
                <w:bCs/>
                <w:sz w:val="20"/>
                <w:szCs w:val="20"/>
              </w:rPr>
              <w:t>2015</w:t>
            </w:r>
          </w:p>
        </w:tc>
        <w:tc>
          <w:tcPr>
            <w:tcW w:w="1390" w:type="dxa"/>
            <w:tcBorders>
              <w:top w:val="single" w:sz="4" w:space="0" w:color="auto"/>
              <w:left w:val="single" w:sz="4" w:space="0" w:color="auto"/>
              <w:bottom w:val="single" w:sz="4" w:space="0" w:color="auto"/>
              <w:right w:val="single" w:sz="4" w:space="0" w:color="auto"/>
            </w:tcBorders>
            <w:vAlign w:val="center"/>
          </w:tcPr>
          <w:p w14:paraId="239046C4" w14:textId="77777777" w:rsidR="00265DB8" w:rsidRPr="001B31E0" w:rsidRDefault="00265DB8" w:rsidP="003160F2">
            <w:pPr>
              <w:spacing w:after="0"/>
              <w:jc w:val="center"/>
              <w:rPr>
                <w:b/>
                <w:bCs/>
                <w:sz w:val="20"/>
                <w:szCs w:val="20"/>
              </w:rPr>
            </w:pPr>
            <w:r w:rsidRPr="001B31E0">
              <w:rPr>
                <w:b/>
                <w:bCs/>
                <w:sz w:val="20"/>
                <w:szCs w:val="20"/>
              </w:rPr>
              <w:t>2016</w:t>
            </w:r>
          </w:p>
        </w:tc>
        <w:tc>
          <w:tcPr>
            <w:tcW w:w="1641" w:type="dxa"/>
            <w:tcBorders>
              <w:top w:val="single" w:sz="4" w:space="0" w:color="auto"/>
              <w:left w:val="single" w:sz="4" w:space="0" w:color="auto"/>
              <w:bottom w:val="single" w:sz="4" w:space="0" w:color="auto"/>
              <w:right w:val="single" w:sz="4" w:space="0" w:color="auto"/>
            </w:tcBorders>
            <w:vAlign w:val="center"/>
            <w:hideMark/>
          </w:tcPr>
          <w:p w14:paraId="70F7937C" w14:textId="5E57F9DB" w:rsidR="00265DB8" w:rsidRPr="001B31E0" w:rsidRDefault="00265DB8" w:rsidP="003160F2">
            <w:pPr>
              <w:spacing w:after="0"/>
              <w:jc w:val="center"/>
              <w:rPr>
                <w:b/>
                <w:bCs/>
                <w:sz w:val="20"/>
                <w:szCs w:val="20"/>
              </w:rPr>
            </w:pPr>
            <w:r w:rsidRPr="001B31E0">
              <w:rPr>
                <w:b/>
                <w:bCs/>
                <w:sz w:val="20"/>
                <w:szCs w:val="20"/>
              </w:rPr>
              <w:t>Change between 2015 and 2016 in %</w:t>
            </w:r>
          </w:p>
        </w:tc>
      </w:tr>
      <w:tr w:rsidR="00265DB8" w:rsidRPr="001B31E0" w14:paraId="7AED9143" w14:textId="77777777" w:rsidTr="003160F2">
        <w:tc>
          <w:tcPr>
            <w:tcW w:w="1677" w:type="dxa"/>
            <w:tcBorders>
              <w:top w:val="single" w:sz="4" w:space="0" w:color="auto"/>
              <w:left w:val="single" w:sz="4" w:space="0" w:color="auto"/>
              <w:bottom w:val="single" w:sz="4" w:space="0" w:color="auto"/>
              <w:right w:val="single" w:sz="4" w:space="0" w:color="auto"/>
            </w:tcBorders>
            <w:vAlign w:val="center"/>
            <w:hideMark/>
          </w:tcPr>
          <w:p w14:paraId="4904DE1F" w14:textId="77777777" w:rsidR="00265DB8" w:rsidRPr="001B31E0" w:rsidRDefault="00265DB8" w:rsidP="00AB2EF5">
            <w:pPr>
              <w:spacing w:after="0"/>
              <w:rPr>
                <w:b/>
                <w:bCs/>
                <w:sz w:val="20"/>
                <w:szCs w:val="20"/>
              </w:rPr>
            </w:pPr>
            <w:r w:rsidRPr="001B31E0">
              <w:rPr>
                <w:b/>
                <w:bCs/>
                <w:sz w:val="20"/>
                <w:szCs w:val="20"/>
              </w:rPr>
              <w:t>All job-seekers</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ACA31C3" w14:textId="77777777" w:rsidR="00265DB8" w:rsidRPr="001B31E0" w:rsidRDefault="00265DB8" w:rsidP="003160F2">
            <w:pPr>
              <w:spacing w:after="0"/>
              <w:jc w:val="right"/>
              <w:rPr>
                <w:sz w:val="20"/>
                <w:szCs w:val="20"/>
              </w:rPr>
            </w:pPr>
            <w:r w:rsidRPr="001B31E0">
              <w:rPr>
                <w:sz w:val="20"/>
                <w:szCs w:val="20"/>
              </w:rPr>
              <w:t>415,006</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9E3F244" w14:textId="77777777" w:rsidR="00265DB8" w:rsidRPr="001B31E0" w:rsidRDefault="00265DB8" w:rsidP="003160F2">
            <w:pPr>
              <w:spacing w:after="0"/>
              <w:jc w:val="right"/>
              <w:rPr>
                <w:sz w:val="20"/>
                <w:szCs w:val="20"/>
              </w:rPr>
            </w:pPr>
            <w:r w:rsidRPr="001B31E0">
              <w:rPr>
                <w:sz w:val="20"/>
                <w:szCs w:val="20"/>
              </w:rPr>
              <w:t>385,661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8D1C7CF" w14:textId="77777777" w:rsidR="00265DB8" w:rsidRPr="001B31E0" w:rsidRDefault="00265DB8" w:rsidP="003160F2">
            <w:pPr>
              <w:spacing w:after="0"/>
              <w:jc w:val="right"/>
              <w:rPr>
                <w:sz w:val="20"/>
                <w:szCs w:val="20"/>
              </w:rPr>
            </w:pPr>
            <w:r w:rsidRPr="001B31E0">
              <w:rPr>
                <w:sz w:val="20"/>
                <w:szCs w:val="20"/>
              </w:rPr>
              <w:t>354,582</w:t>
            </w:r>
          </w:p>
        </w:tc>
        <w:tc>
          <w:tcPr>
            <w:tcW w:w="1390" w:type="dxa"/>
            <w:tcBorders>
              <w:top w:val="single" w:sz="4" w:space="0" w:color="auto"/>
              <w:left w:val="single" w:sz="4" w:space="0" w:color="auto"/>
              <w:bottom w:val="single" w:sz="4" w:space="0" w:color="auto"/>
              <w:right w:val="single" w:sz="4" w:space="0" w:color="auto"/>
            </w:tcBorders>
            <w:vAlign w:val="center"/>
          </w:tcPr>
          <w:p w14:paraId="02EB3761" w14:textId="77777777" w:rsidR="00265DB8" w:rsidRPr="001B31E0" w:rsidRDefault="00265DB8" w:rsidP="003160F2">
            <w:pPr>
              <w:spacing w:after="0"/>
              <w:jc w:val="right"/>
              <w:rPr>
                <w:sz w:val="20"/>
                <w:szCs w:val="20"/>
              </w:rPr>
            </w:pPr>
            <w:r w:rsidRPr="001B31E0">
              <w:rPr>
                <w:sz w:val="20"/>
                <w:szCs w:val="20"/>
              </w:rPr>
              <w:t>300,988</w:t>
            </w:r>
          </w:p>
        </w:tc>
        <w:tc>
          <w:tcPr>
            <w:tcW w:w="1641" w:type="dxa"/>
            <w:tcBorders>
              <w:top w:val="single" w:sz="4" w:space="0" w:color="auto"/>
              <w:left w:val="single" w:sz="4" w:space="0" w:color="auto"/>
              <w:bottom w:val="single" w:sz="4" w:space="0" w:color="auto"/>
              <w:right w:val="single" w:sz="4" w:space="0" w:color="auto"/>
            </w:tcBorders>
            <w:vAlign w:val="center"/>
          </w:tcPr>
          <w:p w14:paraId="14B83C4A" w14:textId="7019251E" w:rsidR="00265DB8" w:rsidRPr="001B31E0" w:rsidRDefault="005E7786" w:rsidP="003160F2">
            <w:pPr>
              <w:spacing w:after="0"/>
              <w:jc w:val="right"/>
              <w:rPr>
                <w:sz w:val="20"/>
                <w:szCs w:val="20"/>
              </w:rPr>
            </w:pPr>
            <w:r w:rsidRPr="001B31E0">
              <w:rPr>
                <w:sz w:val="20"/>
                <w:szCs w:val="20"/>
              </w:rPr>
              <w:t>-15,11%</w:t>
            </w:r>
          </w:p>
        </w:tc>
      </w:tr>
      <w:tr w:rsidR="00265DB8" w:rsidRPr="001B31E0" w14:paraId="0B39148D" w14:textId="77777777" w:rsidTr="003160F2">
        <w:trPr>
          <w:trHeight w:val="309"/>
        </w:trPr>
        <w:tc>
          <w:tcPr>
            <w:tcW w:w="1677" w:type="dxa"/>
            <w:tcBorders>
              <w:top w:val="single" w:sz="4" w:space="0" w:color="auto"/>
              <w:left w:val="single" w:sz="4" w:space="0" w:color="auto"/>
              <w:bottom w:val="single" w:sz="4" w:space="0" w:color="auto"/>
              <w:right w:val="single" w:sz="4" w:space="0" w:color="auto"/>
            </w:tcBorders>
            <w:vAlign w:val="center"/>
            <w:hideMark/>
          </w:tcPr>
          <w:p w14:paraId="06EAB8E5" w14:textId="77777777" w:rsidR="00265DB8" w:rsidRPr="001B31E0" w:rsidRDefault="00265DB8" w:rsidP="00AB2EF5">
            <w:pPr>
              <w:spacing w:after="0"/>
              <w:rPr>
                <w:b/>
                <w:bCs/>
                <w:sz w:val="20"/>
                <w:szCs w:val="20"/>
              </w:rPr>
            </w:pPr>
            <w:r w:rsidRPr="001B31E0">
              <w:rPr>
                <w:b/>
                <w:bCs/>
                <w:sz w:val="20"/>
                <w:szCs w:val="20"/>
              </w:rPr>
              <w:t>Disabled job-seekers</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5C3DEE9" w14:textId="77777777" w:rsidR="00265DB8" w:rsidRPr="001B31E0" w:rsidRDefault="00265DB8" w:rsidP="003160F2">
            <w:pPr>
              <w:spacing w:after="0"/>
              <w:jc w:val="right"/>
              <w:rPr>
                <w:sz w:val="20"/>
                <w:szCs w:val="20"/>
              </w:rPr>
            </w:pPr>
            <w:r w:rsidRPr="001B31E0">
              <w:rPr>
                <w:sz w:val="20"/>
                <w:szCs w:val="20"/>
              </w:rPr>
              <w:t>11,659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64B99E9" w14:textId="77777777" w:rsidR="00265DB8" w:rsidRPr="001B31E0" w:rsidRDefault="00265DB8" w:rsidP="003160F2">
            <w:pPr>
              <w:spacing w:after="0"/>
              <w:jc w:val="right"/>
              <w:rPr>
                <w:sz w:val="20"/>
                <w:szCs w:val="20"/>
              </w:rPr>
            </w:pPr>
            <w:r w:rsidRPr="001B31E0">
              <w:rPr>
                <w:sz w:val="20"/>
                <w:szCs w:val="20"/>
              </w:rPr>
              <w:t>12,800</w:t>
            </w:r>
          </w:p>
        </w:tc>
        <w:tc>
          <w:tcPr>
            <w:tcW w:w="1447" w:type="dxa"/>
            <w:tcBorders>
              <w:top w:val="single" w:sz="4" w:space="0" w:color="auto"/>
              <w:left w:val="single" w:sz="4" w:space="0" w:color="auto"/>
              <w:bottom w:val="single" w:sz="4" w:space="0" w:color="auto"/>
              <w:right w:val="single" w:sz="4" w:space="0" w:color="auto"/>
            </w:tcBorders>
            <w:vAlign w:val="center"/>
          </w:tcPr>
          <w:p w14:paraId="4D5C76DB" w14:textId="77777777" w:rsidR="00265DB8" w:rsidRPr="001B31E0" w:rsidRDefault="00265DB8" w:rsidP="003160F2">
            <w:pPr>
              <w:spacing w:after="0"/>
              <w:jc w:val="right"/>
              <w:rPr>
                <w:sz w:val="20"/>
                <w:szCs w:val="20"/>
              </w:rPr>
            </w:pPr>
            <w:r w:rsidRPr="001B31E0">
              <w:rPr>
                <w:sz w:val="20"/>
                <w:szCs w:val="20"/>
              </w:rPr>
              <w:t>12,917</w:t>
            </w:r>
          </w:p>
        </w:tc>
        <w:tc>
          <w:tcPr>
            <w:tcW w:w="1390" w:type="dxa"/>
            <w:tcBorders>
              <w:top w:val="single" w:sz="4" w:space="0" w:color="auto"/>
              <w:left w:val="single" w:sz="4" w:space="0" w:color="auto"/>
              <w:bottom w:val="single" w:sz="4" w:space="0" w:color="auto"/>
              <w:right w:val="single" w:sz="4" w:space="0" w:color="auto"/>
            </w:tcBorders>
            <w:vAlign w:val="center"/>
          </w:tcPr>
          <w:p w14:paraId="6F488918" w14:textId="77777777" w:rsidR="00265DB8" w:rsidRPr="001B31E0" w:rsidRDefault="00DB657B" w:rsidP="003160F2">
            <w:pPr>
              <w:spacing w:after="0"/>
              <w:jc w:val="right"/>
              <w:rPr>
                <w:sz w:val="20"/>
                <w:szCs w:val="20"/>
              </w:rPr>
            </w:pPr>
            <w:r w:rsidRPr="001B31E0">
              <w:rPr>
                <w:sz w:val="20"/>
                <w:szCs w:val="20"/>
              </w:rPr>
              <w:t>10,800</w:t>
            </w:r>
          </w:p>
        </w:tc>
        <w:tc>
          <w:tcPr>
            <w:tcW w:w="1641" w:type="dxa"/>
            <w:tcBorders>
              <w:top w:val="single" w:sz="4" w:space="0" w:color="auto"/>
              <w:left w:val="single" w:sz="4" w:space="0" w:color="auto"/>
              <w:bottom w:val="single" w:sz="4" w:space="0" w:color="auto"/>
              <w:right w:val="single" w:sz="4" w:space="0" w:color="auto"/>
            </w:tcBorders>
            <w:vAlign w:val="center"/>
            <w:hideMark/>
          </w:tcPr>
          <w:p w14:paraId="4CC0603E" w14:textId="0FB1D295" w:rsidR="00265DB8" w:rsidRPr="001B31E0" w:rsidRDefault="00DB657B" w:rsidP="003160F2">
            <w:pPr>
              <w:spacing w:after="0"/>
              <w:jc w:val="right"/>
              <w:rPr>
                <w:sz w:val="20"/>
                <w:szCs w:val="20"/>
              </w:rPr>
            </w:pPr>
            <w:r w:rsidRPr="001B31E0">
              <w:rPr>
                <w:sz w:val="20"/>
                <w:szCs w:val="20"/>
              </w:rPr>
              <w:t>-16,39%</w:t>
            </w:r>
          </w:p>
        </w:tc>
      </w:tr>
    </w:tbl>
    <w:p w14:paraId="27D61986" w14:textId="73D72A3C" w:rsidR="00381A09" w:rsidRPr="005A62BD" w:rsidRDefault="00381A09" w:rsidP="00AB2EF5">
      <w:pPr>
        <w:spacing w:after="0"/>
        <w:rPr>
          <w:i/>
          <w:iCs/>
        </w:rPr>
      </w:pPr>
      <w:proofErr w:type="spellStart"/>
      <w:proofErr w:type="gramStart"/>
      <w:r w:rsidRPr="005A62BD">
        <w:rPr>
          <w:i/>
          <w:iCs/>
        </w:rPr>
        <w:t>Source:</w:t>
      </w:r>
      <w:r w:rsidR="005E10DF" w:rsidRPr="005A62BD">
        <w:rPr>
          <w:i/>
          <w:iCs/>
        </w:rPr>
        <w:t>Správa</w:t>
      </w:r>
      <w:proofErr w:type="spellEnd"/>
      <w:proofErr w:type="gramEnd"/>
      <w:r w:rsidR="005E10DF" w:rsidRPr="005A62BD">
        <w:rPr>
          <w:i/>
          <w:iCs/>
        </w:rPr>
        <w:t xml:space="preserve"> o </w:t>
      </w:r>
      <w:proofErr w:type="spellStart"/>
      <w:r w:rsidR="005E10DF" w:rsidRPr="005A62BD">
        <w:rPr>
          <w:i/>
          <w:iCs/>
        </w:rPr>
        <w:t>sociálnej</w:t>
      </w:r>
      <w:proofErr w:type="spellEnd"/>
      <w:r w:rsidR="005E10DF" w:rsidRPr="005A62BD">
        <w:rPr>
          <w:i/>
          <w:iCs/>
        </w:rPr>
        <w:t xml:space="preserve"> </w:t>
      </w:r>
      <w:proofErr w:type="spellStart"/>
      <w:r w:rsidR="005E10DF" w:rsidRPr="005A62BD">
        <w:rPr>
          <w:i/>
          <w:iCs/>
        </w:rPr>
        <w:t>situácii</w:t>
      </w:r>
      <w:proofErr w:type="spellEnd"/>
      <w:r w:rsidR="005E10DF" w:rsidRPr="005A62BD">
        <w:rPr>
          <w:i/>
          <w:iCs/>
        </w:rPr>
        <w:t xml:space="preserve"> </w:t>
      </w:r>
      <w:proofErr w:type="spellStart"/>
      <w:r w:rsidR="005E10DF" w:rsidRPr="005A62BD">
        <w:rPr>
          <w:i/>
          <w:iCs/>
        </w:rPr>
        <w:t>obyvateľstva</w:t>
      </w:r>
      <w:proofErr w:type="spellEnd"/>
      <w:r w:rsidR="005E10DF" w:rsidRPr="005A62BD">
        <w:rPr>
          <w:i/>
          <w:iCs/>
        </w:rPr>
        <w:t xml:space="preserve"> za </w:t>
      </w:r>
      <w:proofErr w:type="spellStart"/>
      <w:r w:rsidR="005E10DF" w:rsidRPr="005A62BD">
        <w:rPr>
          <w:i/>
          <w:iCs/>
        </w:rPr>
        <w:t>rok</w:t>
      </w:r>
      <w:proofErr w:type="spellEnd"/>
      <w:r w:rsidR="005E10DF" w:rsidRPr="005A62BD">
        <w:rPr>
          <w:i/>
          <w:iCs/>
        </w:rPr>
        <w:t xml:space="preserve"> 2016.</w:t>
      </w:r>
      <w:r w:rsidR="006B0B93" w:rsidRPr="005A62BD">
        <w:rPr>
          <w:rStyle w:val="FootnoteReference"/>
          <w:i/>
          <w:iCs/>
        </w:rPr>
        <w:footnoteReference w:id="9"/>
      </w:r>
      <w:r w:rsidR="005E10DF" w:rsidRPr="005A62BD">
        <w:rPr>
          <w:i/>
          <w:iCs/>
        </w:rPr>
        <w:t xml:space="preserve"> </w:t>
      </w:r>
    </w:p>
    <w:p w14:paraId="5B9DFB46" w14:textId="77777777" w:rsidR="0017541C" w:rsidRPr="005A62BD" w:rsidRDefault="0017541C" w:rsidP="00AB2EF5">
      <w:pPr>
        <w:spacing w:after="0"/>
      </w:pPr>
    </w:p>
    <w:p w14:paraId="2BCBDA1A" w14:textId="77777777" w:rsidR="005A62BD" w:rsidRPr="005A62BD" w:rsidRDefault="005A62BD">
      <w:pPr>
        <w:spacing w:after="0"/>
        <w:rPr>
          <w:rFonts w:eastAsia="SimSun"/>
          <w:b/>
          <w:bCs/>
        </w:rPr>
      </w:pPr>
      <w:r w:rsidRPr="005A62BD">
        <w:br w:type="page"/>
      </w:r>
    </w:p>
    <w:p w14:paraId="56BDA537" w14:textId="59BFBD3E" w:rsidR="00F84654" w:rsidRPr="000F179F" w:rsidRDefault="00AB2EF5" w:rsidP="009E13D0">
      <w:pPr>
        <w:pStyle w:val="Heading3"/>
        <w:numPr>
          <w:ilvl w:val="0"/>
          <w:numId w:val="0"/>
        </w:numPr>
        <w:ind w:left="426" w:hanging="426"/>
      </w:pPr>
      <w:bookmarkStart w:id="9" w:name="_Toc499120872"/>
      <w:r w:rsidRPr="000F179F">
        <w:lastRenderedPageBreak/>
        <w:t>2.2.2</w:t>
      </w:r>
      <w:r w:rsidRPr="000F179F">
        <w:tab/>
      </w:r>
      <w:r w:rsidR="00561FF5" w:rsidRPr="000F179F">
        <w:t>Economic activity</w:t>
      </w:r>
      <w:bookmarkEnd w:id="9"/>
    </w:p>
    <w:p w14:paraId="44780154" w14:textId="77777777" w:rsidR="003C390B" w:rsidRPr="005A62BD" w:rsidRDefault="003C390B" w:rsidP="00AB2EF5">
      <w:pPr>
        <w:pStyle w:val="Caption"/>
        <w:spacing w:after="0"/>
        <w:rPr>
          <w:sz w:val="24"/>
          <w:szCs w:val="24"/>
        </w:rPr>
      </w:pPr>
    </w:p>
    <w:p w14:paraId="744A5BBE" w14:textId="5FAD93DE" w:rsidR="001066EA" w:rsidRPr="005A62BD" w:rsidRDefault="001066EA"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9</w:t>
      </w:r>
      <w:r w:rsidR="00AB2EF5" w:rsidRPr="005A62BD">
        <w:rPr>
          <w:noProof/>
          <w:sz w:val="24"/>
          <w:szCs w:val="24"/>
        </w:rPr>
        <w:fldChar w:fldCharType="end"/>
      </w:r>
      <w:r w:rsidRPr="005A62BD">
        <w:rPr>
          <w:noProof/>
          <w:sz w:val="24"/>
          <w:szCs w:val="24"/>
        </w:rPr>
        <w:t>: Most recent economic activty data, aged 20-64</w:t>
      </w:r>
    </w:p>
    <w:p w14:paraId="63AE88F9" w14:textId="77777777" w:rsidR="001066EA" w:rsidRPr="005A62BD" w:rsidRDefault="001066EA" w:rsidP="00AB2EF5">
      <w:pPr>
        <w:spacing w:after="0"/>
      </w:pPr>
      <w:r w:rsidRPr="005A62BD">
        <w:rPr>
          <w:noProof/>
          <w:lang w:eastAsia="zh-CN"/>
        </w:rPr>
        <w:drawing>
          <wp:inline distT="0" distB="0" distL="0" distR="0" wp14:anchorId="6A2A2B8C" wp14:editId="6ED57F2A">
            <wp:extent cx="5583044" cy="2594517"/>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C9A986" w14:textId="45C8F3BB" w:rsidR="001066EA" w:rsidRPr="005A62BD" w:rsidRDefault="001066EA"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493B2666" w14:textId="77777777" w:rsidR="005A62BD" w:rsidRPr="005A62BD" w:rsidRDefault="005A62BD" w:rsidP="00AB2EF5">
      <w:pPr>
        <w:pStyle w:val="Sourcereference"/>
        <w:spacing w:after="0"/>
        <w:rPr>
          <w:sz w:val="24"/>
          <w:lang w:eastAsia="en-GB"/>
        </w:rPr>
      </w:pPr>
    </w:p>
    <w:p w14:paraId="08795732" w14:textId="77777777" w:rsidR="001066EA" w:rsidRPr="005A62BD" w:rsidRDefault="001066EA"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10</w:t>
      </w:r>
      <w:r w:rsidR="00AB2EF5" w:rsidRPr="005A62BD">
        <w:rPr>
          <w:noProof/>
          <w:sz w:val="24"/>
          <w:szCs w:val="24"/>
        </w:rPr>
        <w:fldChar w:fldCharType="end"/>
      </w:r>
      <w:r w:rsidRPr="005A62BD">
        <w:rPr>
          <w:sz w:val="24"/>
          <w:szCs w:val="24"/>
        </w:rPr>
        <w:t>: Activity rate data, by age group</w:t>
      </w:r>
    </w:p>
    <w:p w14:paraId="3212C0A7" w14:textId="77777777" w:rsidR="001066EA" w:rsidRPr="005A62BD" w:rsidRDefault="001066EA" w:rsidP="00AB2EF5">
      <w:pPr>
        <w:spacing w:after="0"/>
      </w:pPr>
      <w:r w:rsidRPr="005A62BD">
        <w:rPr>
          <w:noProof/>
          <w:lang w:eastAsia="zh-CN"/>
        </w:rPr>
        <w:drawing>
          <wp:inline distT="0" distB="0" distL="0" distR="0" wp14:anchorId="0F7C4EEB" wp14:editId="2EEC4D23">
            <wp:extent cx="5583044" cy="2668858"/>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7595F2" w14:textId="77777777" w:rsidR="001066EA" w:rsidRPr="005A62BD" w:rsidRDefault="001066EA"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7E061F21" w14:textId="77777777" w:rsidR="001066EA" w:rsidRPr="005A62BD" w:rsidRDefault="001066EA" w:rsidP="00AB2EF5">
      <w:pPr>
        <w:spacing w:after="0"/>
        <w:rPr>
          <w:lang w:eastAsia="en-GB"/>
        </w:rPr>
      </w:pPr>
    </w:p>
    <w:p w14:paraId="4BE53A5C" w14:textId="77777777" w:rsidR="001066EA" w:rsidRPr="005A62BD" w:rsidRDefault="001066EA" w:rsidP="00AB2EF5">
      <w:pPr>
        <w:pStyle w:val="Caption"/>
        <w:keepNext/>
        <w:spacing w:after="0"/>
        <w:rPr>
          <w:sz w:val="24"/>
          <w:szCs w:val="24"/>
        </w:rPr>
      </w:pPr>
      <w:r w:rsidRPr="005A62BD">
        <w:rPr>
          <w:sz w:val="24"/>
          <w:szCs w:val="24"/>
        </w:rPr>
        <w:lastRenderedPageBreak/>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11</w:t>
      </w:r>
      <w:r w:rsidR="00AB2EF5" w:rsidRPr="005A62BD">
        <w:rPr>
          <w:noProof/>
          <w:sz w:val="24"/>
          <w:szCs w:val="24"/>
        </w:rPr>
        <w:fldChar w:fldCharType="end"/>
      </w:r>
      <w:r w:rsidRPr="005A62BD">
        <w:rPr>
          <w:sz w:val="24"/>
          <w:szCs w:val="24"/>
        </w:rPr>
        <w:t>: Trends in activity rates by gender and disability (aged 20-64)</w:t>
      </w:r>
    </w:p>
    <w:p w14:paraId="33FCC18D" w14:textId="77777777" w:rsidR="001066EA" w:rsidRPr="005A62BD" w:rsidRDefault="001066EA" w:rsidP="00AB2EF5">
      <w:pPr>
        <w:spacing w:after="0"/>
      </w:pPr>
      <w:r w:rsidRPr="005A62BD">
        <w:rPr>
          <w:noProof/>
          <w:lang w:eastAsia="zh-CN"/>
        </w:rPr>
        <w:drawing>
          <wp:inline distT="0" distB="0" distL="0" distR="0" wp14:anchorId="3A58014C" wp14:editId="5D368252">
            <wp:extent cx="5486400" cy="4638675"/>
            <wp:effectExtent l="0" t="0" r="1905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6D794B" w14:textId="336BC947" w:rsidR="00EA5FB9" w:rsidRPr="005A62BD" w:rsidRDefault="001066EA"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 (and preceding UDBs</w:t>
      </w:r>
      <w:r w:rsidR="00EA5FB9" w:rsidRPr="005A62BD">
        <w:rPr>
          <w:sz w:val="24"/>
          <w:lang w:eastAsia="en-GB"/>
        </w:rPr>
        <w:t>)</w:t>
      </w:r>
    </w:p>
    <w:p w14:paraId="6BD32928" w14:textId="77777777" w:rsidR="00EC38CC" w:rsidRPr="005A62BD" w:rsidRDefault="00EC38CC" w:rsidP="00AB2EF5">
      <w:pPr>
        <w:spacing w:after="0"/>
        <w:rPr>
          <w:b/>
        </w:rPr>
      </w:pPr>
      <w:r w:rsidRPr="005A62BD">
        <w:br w:type="page"/>
      </w:r>
    </w:p>
    <w:p w14:paraId="1EDEC790" w14:textId="7799AF15" w:rsidR="00EA5FB9" w:rsidRDefault="00EA5FB9" w:rsidP="00D73FC4">
      <w:pPr>
        <w:pStyle w:val="Un-numberedsubheading"/>
        <w:spacing w:after="0"/>
        <w:jc w:val="both"/>
      </w:pPr>
      <w:r w:rsidRPr="005A62BD">
        <w:lastRenderedPageBreak/>
        <w:t>Alternative data on disability and economic activity provided by the national expert:</w:t>
      </w:r>
    </w:p>
    <w:p w14:paraId="5DDEB648" w14:textId="77777777" w:rsidR="000F179F" w:rsidRPr="005A62BD" w:rsidRDefault="000F179F" w:rsidP="00AB2EF5">
      <w:pPr>
        <w:pStyle w:val="Un-numberedsubheading"/>
        <w:spacing w:after="0"/>
      </w:pPr>
    </w:p>
    <w:p w14:paraId="639AA5AB" w14:textId="77777777" w:rsidR="000D37E1" w:rsidRPr="003160F2" w:rsidRDefault="000D37E1" w:rsidP="00AB2EF5">
      <w:pPr>
        <w:spacing w:after="0"/>
        <w:rPr>
          <w:b/>
          <w:bCs/>
          <w:sz w:val="20"/>
          <w:szCs w:val="20"/>
        </w:rPr>
      </w:pPr>
      <w:r w:rsidRPr="003160F2">
        <w:rPr>
          <w:b/>
          <w:bCs/>
          <w:sz w:val="20"/>
          <w:szCs w:val="20"/>
        </w:rPr>
        <w:t xml:space="preserve">Table: Economic activity rate, employment rate and unemployment rate of PWD </w:t>
      </w:r>
    </w:p>
    <w:tbl>
      <w:tblPr>
        <w:tblW w:w="8250" w:type="dxa"/>
        <w:tblInd w:w="56" w:type="dxa"/>
        <w:tblBorders>
          <w:insideV w:val="single" w:sz="6" w:space="0" w:color="auto"/>
        </w:tblBorders>
        <w:tblLayout w:type="fixed"/>
        <w:tblCellMar>
          <w:left w:w="56" w:type="dxa"/>
          <w:right w:w="56" w:type="dxa"/>
        </w:tblCellMar>
        <w:tblLook w:val="04A0" w:firstRow="1" w:lastRow="0" w:firstColumn="1" w:lastColumn="0" w:noHBand="0" w:noVBand="1"/>
      </w:tblPr>
      <w:tblGrid>
        <w:gridCol w:w="3826"/>
        <w:gridCol w:w="884"/>
        <w:gridCol w:w="885"/>
        <w:gridCol w:w="885"/>
        <w:gridCol w:w="885"/>
        <w:gridCol w:w="885"/>
      </w:tblGrid>
      <w:tr w:rsidR="000D37E1" w:rsidRPr="003160F2" w14:paraId="5B58C6AC" w14:textId="77777777" w:rsidTr="008C74E2">
        <w:trPr>
          <w:trHeight w:val="590"/>
        </w:trPr>
        <w:tc>
          <w:tcPr>
            <w:tcW w:w="3826" w:type="dxa"/>
            <w:tcBorders>
              <w:top w:val="single" w:sz="12" w:space="0" w:color="auto"/>
              <w:left w:val="nil"/>
              <w:bottom w:val="single" w:sz="12" w:space="0" w:color="auto"/>
              <w:right w:val="single" w:sz="6" w:space="0" w:color="auto"/>
            </w:tcBorders>
            <w:shd w:val="clear" w:color="auto" w:fill="DDD9C3"/>
            <w:vAlign w:val="center"/>
            <w:hideMark/>
          </w:tcPr>
          <w:p w14:paraId="3ED28077" w14:textId="77777777" w:rsidR="000D37E1" w:rsidRPr="003160F2" w:rsidRDefault="000D37E1" w:rsidP="00AB2EF5">
            <w:pPr>
              <w:spacing w:after="0"/>
              <w:ind w:right="-56"/>
              <w:rPr>
                <w:sz w:val="20"/>
                <w:szCs w:val="20"/>
                <w:lang w:eastAsia="cs-CZ"/>
              </w:rPr>
            </w:pPr>
            <w:r w:rsidRPr="003160F2">
              <w:rPr>
                <w:sz w:val="20"/>
                <w:szCs w:val="20"/>
              </w:rPr>
              <w:t>Indicator</w:t>
            </w:r>
          </w:p>
        </w:tc>
        <w:tc>
          <w:tcPr>
            <w:tcW w:w="884" w:type="dxa"/>
            <w:tcBorders>
              <w:top w:val="single" w:sz="12" w:space="0" w:color="auto"/>
              <w:left w:val="single" w:sz="6" w:space="0" w:color="auto"/>
              <w:bottom w:val="single" w:sz="12" w:space="0" w:color="auto"/>
              <w:right w:val="single" w:sz="6" w:space="0" w:color="auto"/>
            </w:tcBorders>
            <w:shd w:val="clear" w:color="auto" w:fill="DDD9C3"/>
            <w:vAlign w:val="center"/>
            <w:hideMark/>
          </w:tcPr>
          <w:p w14:paraId="2C972BED" w14:textId="77777777" w:rsidR="000D37E1" w:rsidRPr="003160F2" w:rsidRDefault="000D37E1" w:rsidP="00AB2EF5">
            <w:pPr>
              <w:spacing w:after="0"/>
              <w:rPr>
                <w:sz w:val="20"/>
                <w:szCs w:val="20"/>
                <w:lang w:eastAsia="cs-CZ"/>
              </w:rPr>
            </w:pPr>
            <w:r w:rsidRPr="003160F2">
              <w:rPr>
                <w:sz w:val="20"/>
                <w:szCs w:val="20"/>
              </w:rPr>
              <w:t>2012</w:t>
            </w:r>
          </w:p>
        </w:tc>
        <w:tc>
          <w:tcPr>
            <w:tcW w:w="885" w:type="dxa"/>
            <w:tcBorders>
              <w:top w:val="single" w:sz="12" w:space="0" w:color="auto"/>
              <w:left w:val="single" w:sz="6" w:space="0" w:color="auto"/>
              <w:bottom w:val="single" w:sz="12" w:space="0" w:color="auto"/>
              <w:right w:val="nil"/>
            </w:tcBorders>
            <w:shd w:val="clear" w:color="auto" w:fill="DDD9C3"/>
            <w:vAlign w:val="center"/>
            <w:hideMark/>
          </w:tcPr>
          <w:p w14:paraId="3E7CDCA5" w14:textId="77777777" w:rsidR="000D37E1" w:rsidRPr="003160F2" w:rsidRDefault="000D37E1" w:rsidP="00AB2EF5">
            <w:pPr>
              <w:spacing w:after="0"/>
              <w:rPr>
                <w:sz w:val="20"/>
                <w:szCs w:val="20"/>
                <w:lang w:eastAsia="cs-CZ"/>
              </w:rPr>
            </w:pPr>
            <w:r w:rsidRPr="003160F2">
              <w:rPr>
                <w:sz w:val="20"/>
                <w:szCs w:val="20"/>
              </w:rPr>
              <w:t>2013</w:t>
            </w:r>
          </w:p>
        </w:tc>
        <w:tc>
          <w:tcPr>
            <w:tcW w:w="885" w:type="dxa"/>
            <w:tcBorders>
              <w:top w:val="single" w:sz="12" w:space="0" w:color="auto"/>
              <w:left w:val="single" w:sz="6" w:space="0" w:color="auto"/>
              <w:bottom w:val="single" w:sz="12" w:space="0" w:color="auto"/>
              <w:right w:val="nil"/>
            </w:tcBorders>
            <w:shd w:val="clear" w:color="auto" w:fill="DDD9C3"/>
            <w:vAlign w:val="center"/>
            <w:hideMark/>
          </w:tcPr>
          <w:p w14:paraId="57296C99" w14:textId="77777777" w:rsidR="000D37E1" w:rsidRPr="003160F2" w:rsidRDefault="000D37E1" w:rsidP="00AB2EF5">
            <w:pPr>
              <w:spacing w:after="0"/>
              <w:rPr>
                <w:sz w:val="20"/>
                <w:szCs w:val="20"/>
                <w:lang w:eastAsia="cs-CZ"/>
              </w:rPr>
            </w:pPr>
            <w:r w:rsidRPr="003160F2">
              <w:rPr>
                <w:sz w:val="20"/>
                <w:szCs w:val="20"/>
              </w:rPr>
              <w:t>2014</w:t>
            </w:r>
          </w:p>
        </w:tc>
        <w:tc>
          <w:tcPr>
            <w:tcW w:w="885" w:type="dxa"/>
            <w:tcBorders>
              <w:top w:val="single" w:sz="12" w:space="0" w:color="auto"/>
              <w:left w:val="single" w:sz="6" w:space="0" w:color="auto"/>
              <w:bottom w:val="single" w:sz="12" w:space="0" w:color="auto"/>
              <w:right w:val="nil"/>
            </w:tcBorders>
            <w:shd w:val="clear" w:color="auto" w:fill="DDD9C3"/>
            <w:vAlign w:val="center"/>
            <w:hideMark/>
          </w:tcPr>
          <w:p w14:paraId="6B380E6F" w14:textId="77777777" w:rsidR="000D37E1" w:rsidRPr="003160F2" w:rsidRDefault="000D37E1" w:rsidP="00AB2EF5">
            <w:pPr>
              <w:spacing w:after="0"/>
              <w:rPr>
                <w:sz w:val="20"/>
                <w:szCs w:val="20"/>
                <w:lang w:eastAsia="cs-CZ"/>
              </w:rPr>
            </w:pPr>
            <w:r w:rsidRPr="003160F2">
              <w:rPr>
                <w:sz w:val="20"/>
                <w:szCs w:val="20"/>
              </w:rPr>
              <w:t>2015</w:t>
            </w:r>
          </w:p>
        </w:tc>
        <w:tc>
          <w:tcPr>
            <w:tcW w:w="885" w:type="dxa"/>
            <w:tcBorders>
              <w:top w:val="single" w:sz="12" w:space="0" w:color="auto"/>
              <w:left w:val="single" w:sz="6" w:space="0" w:color="auto"/>
              <w:bottom w:val="single" w:sz="12" w:space="0" w:color="auto"/>
              <w:right w:val="single" w:sz="6" w:space="0" w:color="auto"/>
            </w:tcBorders>
            <w:shd w:val="clear" w:color="auto" w:fill="DDD9C3"/>
          </w:tcPr>
          <w:p w14:paraId="608EA4E5" w14:textId="77777777" w:rsidR="000D37E1" w:rsidRPr="003160F2" w:rsidRDefault="000D37E1" w:rsidP="00AB2EF5">
            <w:pPr>
              <w:spacing w:after="0"/>
              <w:rPr>
                <w:sz w:val="20"/>
                <w:szCs w:val="20"/>
              </w:rPr>
            </w:pPr>
            <w:r w:rsidRPr="003160F2">
              <w:rPr>
                <w:sz w:val="20"/>
                <w:szCs w:val="20"/>
              </w:rPr>
              <w:t>2015 – non-disabled</w:t>
            </w:r>
          </w:p>
        </w:tc>
      </w:tr>
      <w:tr w:rsidR="000D37E1" w:rsidRPr="003160F2" w14:paraId="760B0E96" w14:textId="77777777" w:rsidTr="008C74E2">
        <w:trPr>
          <w:trHeight w:val="291"/>
        </w:trPr>
        <w:tc>
          <w:tcPr>
            <w:tcW w:w="3826" w:type="dxa"/>
            <w:tcBorders>
              <w:top w:val="nil"/>
              <w:left w:val="nil"/>
              <w:bottom w:val="nil"/>
              <w:right w:val="single" w:sz="6" w:space="0" w:color="auto"/>
            </w:tcBorders>
            <w:shd w:val="clear" w:color="auto" w:fill="EEECE1"/>
            <w:vAlign w:val="bottom"/>
            <w:hideMark/>
          </w:tcPr>
          <w:p w14:paraId="77CA9A62" w14:textId="77777777" w:rsidR="000D37E1" w:rsidRPr="003160F2" w:rsidRDefault="000D37E1" w:rsidP="00AB2EF5">
            <w:pPr>
              <w:spacing w:after="0"/>
              <w:rPr>
                <w:sz w:val="20"/>
                <w:szCs w:val="20"/>
                <w:lang w:eastAsia="sk-SK"/>
              </w:rPr>
            </w:pPr>
            <w:r w:rsidRPr="003160F2">
              <w:rPr>
                <w:sz w:val="20"/>
                <w:szCs w:val="20"/>
                <w:lang w:eastAsia="sk-SK"/>
              </w:rPr>
              <w:t>Economic activity rate</w:t>
            </w:r>
          </w:p>
        </w:tc>
        <w:tc>
          <w:tcPr>
            <w:tcW w:w="884" w:type="dxa"/>
            <w:tcBorders>
              <w:top w:val="nil"/>
              <w:left w:val="single" w:sz="6" w:space="0" w:color="auto"/>
              <w:bottom w:val="nil"/>
              <w:right w:val="single" w:sz="6" w:space="0" w:color="auto"/>
            </w:tcBorders>
            <w:shd w:val="clear" w:color="auto" w:fill="EEECE1"/>
            <w:vAlign w:val="bottom"/>
            <w:hideMark/>
          </w:tcPr>
          <w:p w14:paraId="3291A301" w14:textId="77777777" w:rsidR="000D37E1" w:rsidRPr="003160F2" w:rsidRDefault="000D37E1" w:rsidP="00AB2EF5">
            <w:pPr>
              <w:spacing w:after="0"/>
              <w:rPr>
                <w:sz w:val="20"/>
                <w:szCs w:val="20"/>
                <w:lang w:eastAsia="cs-CZ"/>
              </w:rPr>
            </w:pPr>
            <w:r w:rsidRPr="003160F2">
              <w:rPr>
                <w:sz w:val="20"/>
                <w:szCs w:val="20"/>
              </w:rPr>
              <w:t>15,1</w:t>
            </w:r>
          </w:p>
        </w:tc>
        <w:tc>
          <w:tcPr>
            <w:tcW w:w="885" w:type="dxa"/>
            <w:tcBorders>
              <w:top w:val="nil"/>
              <w:left w:val="single" w:sz="6" w:space="0" w:color="auto"/>
              <w:bottom w:val="nil"/>
              <w:right w:val="nil"/>
            </w:tcBorders>
            <w:shd w:val="clear" w:color="auto" w:fill="EEECE1"/>
            <w:vAlign w:val="bottom"/>
            <w:hideMark/>
          </w:tcPr>
          <w:p w14:paraId="18272B84" w14:textId="77777777" w:rsidR="000D37E1" w:rsidRPr="003160F2" w:rsidRDefault="000D37E1" w:rsidP="00AB2EF5">
            <w:pPr>
              <w:spacing w:after="0"/>
              <w:rPr>
                <w:sz w:val="20"/>
                <w:szCs w:val="20"/>
                <w:lang w:eastAsia="cs-CZ"/>
              </w:rPr>
            </w:pPr>
            <w:r w:rsidRPr="003160F2">
              <w:rPr>
                <w:sz w:val="20"/>
                <w:szCs w:val="20"/>
              </w:rPr>
              <w:t>17,6</w:t>
            </w:r>
          </w:p>
        </w:tc>
        <w:tc>
          <w:tcPr>
            <w:tcW w:w="885" w:type="dxa"/>
            <w:tcBorders>
              <w:top w:val="nil"/>
              <w:left w:val="single" w:sz="6" w:space="0" w:color="auto"/>
              <w:bottom w:val="nil"/>
              <w:right w:val="nil"/>
            </w:tcBorders>
            <w:shd w:val="clear" w:color="auto" w:fill="EEECE1"/>
            <w:vAlign w:val="bottom"/>
            <w:hideMark/>
          </w:tcPr>
          <w:p w14:paraId="31BD2BBD" w14:textId="77777777" w:rsidR="000D37E1" w:rsidRPr="003160F2" w:rsidRDefault="000D37E1" w:rsidP="00AB2EF5">
            <w:pPr>
              <w:spacing w:after="0"/>
              <w:rPr>
                <w:sz w:val="20"/>
                <w:szCs w:val="20"/>
                <w:lang w:eastAsia="cs-CZ"/>
              </w:rPr>
            </w:pPr>
            <w:r w:rsidRPr="003160F2">
              <w:rPr>
                <w:sz w:val="20"/>
                <w:szCs w:val="20"/>
              </w:rPr>
              <w:t>21,4</w:t>
            </w:r>
          </w:p>
        </w:tc>
        <w:tc>
          <w:tcPr>
            <w:tcW w:w="885" w:type="dxa"/>
            <w:tcBorders>
              <w:top w:val="nil"/>
              <w:left w:val="single" w:sz="6" w:space="0" w:color="auto"/>
              <w:bottom w:val="nil"/>
              <w:right w:val="nil"/>
            </w:tcBorders>
            <w:shd w:val="clear" w:color="auto" w:fill="EEECE1"/>
            <w:vAlign w:val="bottom"/>
            <w:hideMark/>
          </w:tcPr>
          <w:p w14:paraId="4143C1C2" w14:textId="77777777" w:rsidR="000D37E1" w:rsidRPr="003160F2" w:rsidRDefault="000D37E1" w:rsidP="00AB2EF5">
            <w:pPr>
              <w:spacing w:after="0"/>
              <w:rPr>
                <w:sz w:val="20"/>
                <w:szCs w:val="20"/>
                <w:lang w:eastAsia="cs-CZ"/>
              </w:rPr>
            </w:pPr>
            <w:r w:rsidRPr="003160F2">
              <w:rPr>
                <w:sz w:val="20"/>
                <w:szCs w:val="20"/>
              </w:rPr>
              <w:t>20,1</w:t>
            </w:r>
          </w:p>
        </w:tc>
        <w:tc>
          <w:tcPr>
            <w:tcW w:w="885" w:type="dxa"/>
            <w:tcBorders>
              <w:top w:val="nil"/>
              <w:left w:val="single" w:sz="6" w:space="0" w:color="auto"/>
              <w:bottom w:val="nil"/>
              <w:right w:val="single" w:sz="6" w:space="0" w:color="auto"/>
            </w:tcBorders>
            <w:shd w:val="clear" w:color="auto" w:fill="EEECE1"/>
          </w:tcPr>
          <w:p w14:paraId="5F6D0FFC" w14:textId="77777777" w:rsidR="000D37E1" w:rsidRPr="003160F2" w:rsidRDefault="000D37E1" w:rsidP="00AB2EF5">
            <w:pPr>
              <w:spacing w:after="0"/>
              <w:rPr>
                <w:sz w:val="20"/>
                <w:szCs w:val="20"/>
              </w:rPr>
            </w:pPr>
            <w:r w:rsidRPr="003160F2">
              <w:rPr>
                <w:sz w:val="20"/>
                <w:szCs w:val="20"/>
              </w:rPr>
              <w:t>59,7</w:t>
            </w:r>
          </w:p>
        </w:tc>
      </w:tr>
      <w:tr w:rsidR="000D37E1" w:rsidRPr="003160F2" w14:paraId="452C5E9E" w14:textId="77777777" w:rsidTr="008C74E2">
        <w:trPr>
          <w:trHeight w:val="291"/>
        </w:trPr>
        <w:tc>
          <w:tcPr>
            <w:tcW w:w="3826" w:type="dxa"/>
            <w:tcBorders>
              <w:top w:val="nil"/>
              <w:left w:val="nil"/>
              <w:bottom w:val="nil"/>
              <w:right w:val="single" w:sz="6" w:space="0" w:color="auto"/>
            </w:tcBorders>
            <w:vAlign w:val="bottom"/>
            <w:hideMark/>
          </w:tcPr>
          <w:p w14:paraId="213B7ABE" w14:textId="77777777" w:rsidR="000D37E1" w:rsidRPr="003160F2" w:rsidRDefault="000D37E1" w:rsidP="00AB2EF5">
            <w:pPr>
              <w:spacing w:after="0"/>
              <w:rPr>
                <w:sz w:val="20"/>
                <w:szCs w:val="20"/>
                <w:lang w:eastAsia="sk-SK"/>
              </w:rPr>
            </w:pPr>
            <w:r w:rsidRPr="003160F2">
              <w:rPr>
                <w:sz w:val="20"/>
                <w:szCs w:val="20"/>
                <w:lang w:eastAsia="sk-SK"/>
              </w:rPr>
              <w:t>Employment rate</w:t>
            </w:r>
          </w:p>
        </w:tc>
        <w:tc>
          <w:tcPr>
            <w:tcW w:w="884" w:type="dxa"/>
            <w:tcBorders>
              <w:top w:val="nil"/>
              <w:left w:val="single" w:sz="6" w:space="0" w:color="auto"/>
              <w:bottom w:val="nil"/>
              <w:right w:val="single" w:sz="6" w:space="0" w:color="auto"/>
            </w:tcBorders>
            <w:vAlign w:val="bottom"/>
            <w:hideMark/>
          </w:tcPr>
          <w:p w14:paraId="01E09462" w14:textId="77777777" w:rsidR="000D37E1" w:rsidRPr="003160F2" w:rsidRDefault="000D37E1" w:rsidP="00AB2EF5">
            <w:pPr>
              <w:spacing w:after="0"/>
              <w:rPr>
                <w:sz w:val="20"/>
                <w:szCs w:val="20"/>
                <w:lang w:eastAsia="cs-CZ"/>
              </w:rPr>
            </w:pPr>
            <w:r w:rsidRPr="003160F2">
              <w:rPr>
                <w:sz w:val="20"/>
                <w:szCs w:val="20"/>
              </w:rPr>
              <w:t>12,0</w:t>
            </w:r>
          </w:p>
        </w:tc>
        <w:tc>
          <w:tcPr>
            <w:tcW w:w="885" w:type="dxa"/>
            <w:tcBorders>
              <w:top w:val="nil"/>
              <w:left w:val="single" w:sz="6" w:space="0" w:color="auto"/>
              <w:bottom w:val="nil"/>
              <w:right w:val="nil"/>
            </w:tcBorders>
            <w:vAlign w:val="bottom"/>
            <w:hideMark/>
          </w:tcPr>
          <w:p w14:paraId="1FA92069" w14:textId="77777777" w:rsidR="000D37E1" w:rsidRPr="003160F2" w:rsidRDefault="000D37E1" w:rsidP="00AB2EF5">
            <w:pPr>
              <w:spacing w:after="0"/>
              <w:rPr>
                <w:sz w:val="20"/>
                <w:szCs w:val="20"/>
                <w:lang w:eastAsia="cs-CZ"/>
              </w:rPr>
            </w:pPr>
            <w:r w:rsidRPr="003160F2">
              <w:rPr>
                <w:sz w:val="20"/>
                <w:szCs w:val="20"/>
              </w:rPr>
              <w:t>14,0</w:t>
            </w:r>
          </w:p>
        </w:tc>
        <w:tc>
          <w:tcPr>
            <w:tcW w:w="885" w:type="dxa"/>
            <w:tcBorders>
              <w:top w:val="nil"/>
              <w:left w:val="single" w:sz="6" w:space="0" w:color="auto"/>
              <w:bottom w:val="nil"/>
              <w:right w:val="nil"/>
            </w:tcBorders>
            <w:vAlign w:val="bottom"/>
            <w:hideMark/>
          </w:tcPr>
          <w:p w14:paraId="364D2773" w14:textId="77777777" w:rsidR="000D37E1" w:rsidRPr="003160F2" w:rsidRDefault="000D37E1" w:rsidP="00AB2EF5">
            <w:pPr>
              <w:spacing w:after="0"/>
              <w:rPr>
                <w:sz w:val="20"/>
                <w:szCs w:val="20"/>
                <w:lang w:eastAsia="cs-CZ"/>
              </w:rPr>
            </w:pPr>
            <w:r w:rsidRPr="003160F2">
              <w:rPr>
                <w:sz w:val="20"/>
                <w:szCs w:val="20"/>
              </w:rPr>
              <w:t>17,2</w:t>
            </w:r>
          </w:p>
        </w:tc>
        <w:tc>
          <w:tcPr>
            <w:tcW w:w="885" w:type="dxa"/>
            <w:tcBorders>
              <w:top w:val="nil"/>
              <w:left w:val="single" w:sz="6" w:space="0" w:color="auto"/>
              <w:bottom w:val="nil"/>
              <w:right w:val="nil"/>
            </w:tcBorders>
            <w:vAlign w:val="bottom"/>
            <w:hideMark/>
          </w:tcPr>
          <w:p w14:paraId="48EF4650" w14:textId="77777777" w:rsidR="000D37E1" w:rsidRPr="003160F2" w:rsidRDefault="000D37E1" w:rsidP="00AB2EF5">
            <w:pPr>
              <w:spacing w:after="0"/>
              <w:rPr>
                <w:sz w:val="20"/>
                <w:szCs w:val="20"/>
                <w:lang w:eastAsia="cs-CZ"/>
              </w:rPr>
            </w:pPr>
            <w:r w:rsidRPr="003160F2">
              <w:rPr>
                <w:sz w:val="20"/>
                <w:szCs w:val="20"/>
              </w:rPr>
              <w:t>16,6</w:t>
            </w:r>
          </w:p>
        </w:tc>
        <w:tc>
          <w:tcPr>
            <w:tcW w:w="885" w:type="dxa"/>
            <w:tcBorders>
              <w:top w:val="nil"/>
              <w:left w:val="single" w:sz="6" w:space="0" w:color="auto"/>
              <w:bottom w:val="nil"/>
              <w:right w:val="single" w:sz="6" w:space="0" w:color="auto"/>
            </w:tcBorders>
          </w:tcPr>
          <w:p w14:paraId="1E69353E" w14:textId="77777777" w:rsidR="000D37E1" w:rsidRPr="003160F2" w:rsidRDefault="000D37E1" w:rsidP="00AB2EF5">
            <w:pPr>
              <w:spacing w:after="0"/>
              <w:rPr>
                <w:sz w:val="20"/>
                <w:szCs w:val="20"/>
              </w:rPr>
            </w:pPr>
            <w:r w:rsidRPr="003160F2">
              <w:rPr>
                <w:sz w:val="20"/>
                <w:szCs w:val="20"/>
              </w:rPr>
              <w:t>67,7</w:t>
            </w:r>
          </w:p>
        </w:tc>
      </w:tr>
      <w:tr w:rsidR="000D37E1" w:rsidRPr="003160F2" w14:paraId="69D965F4" w14:textId="77777777" w:rsidTr="008C74E2">
        <w:trPr>
          <w:trHeight w:val="291"/>
        </w:trPr>
        <w:tc>
          <w:tcPr>
            <w:tcW w:w="3826" w:type="dxa"/>
            <w:tcBorders>
              <w:top w:val="nil"/>
              <w:left w:val="nil"/>
              <w:bottom w:val="nil"/>
              <w:right w:val="single" w:sz="6" w:space="0" w:color="auto"/>
            </w:tcBorders>
            <w:shd w:val="clear" w:color="auto" w:fill="EEECE1"/>
            <w:vAlign w:val="bottom"/>
            <w:hideMark/>
          </w:tcPr>
          <w:p w14:paraId="5236BE18" w14:textId="77777777" w:rsidR="000D37E1" w:rsidRPr="003160F2" w:rsidRDefault="000D37E1" w:rsidP="00AB2EF5">
            <w:pPr>
              <w:spacing w:after="0"/>
              <w:rPr>
                <w:sz w:val="20"/>
                <w:szCs w:val="20"/>
                <w:lang w:eastAsia="sk-SK"/>
              </w:rPr>
            </w:pPr>
            <w:r w:rsidRPr="003160F2">
              <w:rPr>
                <w:sz w:val="20"/>
                <w:szCs w:val="20"/>
                <w:lang w:eastAsia="sk-SK"/>
              </w:rPr>
              <w:t>Unemployment rate</w:t>
            </w:r>
          </w:p>
        </w:tc>
        <w:tc>
          <w:tcPr>
            <w:tcW w:w="884" w:type="dxa"/>
            <w:tcBorders>
              <w:top w:val="nil"/>
              <w:left w:val="single" w:sz="6" w:space="0" w:color="auto"/>
              <w:bottom w:val="nil"/>
              <w:right w:val="single" w:sz="6" w:space="0" w:color="auto"/>
            </w:tcBorders>
            <w:shd w:val="clear" w:color="auto" w:fill="EEECE1"/>
            <w:vAlign w:val="bottom"/>
            <w:hideMark/>
          </w:tcPr>
          <w:p w14:paraId="192791BD" w14:textId="77777777" w:rsidR="000D37E1" w:rsidRPr="003160F2" w:rsidRDefault="000D37E1" w:rsidP="00AB2EF5">
            <w:pPr>
              <w:spacing w:after="0"/>
              <w:rPr>
                <w:sz w:val="20"/>
                <w:szCs w:val="20"/>
                <w:lang w:eastAsia="cs-CZ"/>
              </w:rPr>
            </w:pPr>
            <w:r w:rsidRPr="003160F2">
              <w:rPr>
                <w:sz w:val="20"/>
                <w:szCs w:val="20"/>
              </w:rPr>
              <w:t>20,4</w:t>
            </w:r>
          </w:p>
        </w:tc>
        <w:tc>
          <w:tcPr>
            <w:tcW w:w="885" w:type="dxa"/>
            <w:tcBorders>
              <w:top w:val="nil"/>
              <w:left w:val="single" w:sz="6" w:space="0" w:color="auto"/>
              <w:bottom w:val="nil"/>
              <w:right w:val="nil"/>
            </w:tcBorders>
            <w:shd w:val="clear" w:color="auto" w:fill="EEECE1"/>
            <w:vAlign w:val="bottom"/>
            <w:hideMark/>
          </w:tcPr>
          <w:p w14:paraId="1E0EAC2C" w14:textId="77777777" w:rsidR="000D37E1" w:rsidRPr="003160F2" w:rsidRDefault="000D37E1" w:rsidP="00AB2EF5">
            <w:pPr>
              <w:spacing w:after="0"/>
              <w:rPr>
                <w:sz w:val="20"/>
                <w:szCs w:val="20"/>
                <w:lang w:eastAsia="cs-CZ"/>
              </w:rPr>
            </w:pPr>
            <w:r w:rsidRPr="003160F2">
              <w:rPr>
                <w:sz w:val="20"/>
                <w:szCs w:val="20"/>
              </w:rPr>
              <w:t>20,1</w:t>
            </w:r>
          </w:p>
        </w:tc>
        <w:tc>
          <w:tcPr>
            <w:tcW w:w="885" w:type="dxa"/>
            <w:tcBorders>
              <w:top w:val="nil"/>
              <w:left w:val="single" w:sz="6" w:space="0" w:color="auto"/>
              <w:bottom w:val="nil"/>
              <w:right w:val="nil"/>
            </w:tcBorders>
            <w:shd w:val="clear" w:color="auto" w:fill="EEECE1"/>
            <w:vAlign w:val="bottom"/>
            <w:hideMark/>
          </w:tcPr>
          <w:p w14:paraId="33EFC36A" w14:textId="77777777" w:rsidR="000D37E1" w:rsidRPr="003160F2" w:rsidRDefault="000D37E1" w:rsidP="00AB2EF5">
            <w:pPr>
              <w:spacing w:after="0"/>
              <w:rPr>
                <w:sz w:val="20"/>
                <w:szCs w:val="20"/>
                <w:lang w:eastAsia="cs-CZ"/>
              </w:rPr>
            </w:pPr>
            <w:r w:rsidRPr="003160F2">
              <w:rPr>
                <w:sz w:val="20"/>
                <w:szCs w:val="20"/>
              </w:rPr>
              <w:t>19,6</w:t>
            </w:r>
          </w:p>
        </w:tc>
        <w:tc>
          <w:tcPr>
            <w:tcW w:w="885" w:type="dxa"/>
            <w:tcBorders>
              <w:top w:val="nil"/>
              <w:left w:val="single" w:sz="6" w:space="0" w:color="auto"/>
              <w:bottom w:val="nil"/>
              <w:right w:val="nil"/>
            </w:tcBorders>
            <w:shd w:val="clear" w:color="auto" w:fill="EEECE1"/>
            <w:vAlign w:val="bottom"/>
            <w:hideMark/>
          </w:tcPr>
          <w:p w14:paraId="10289287" w14:textId="77777777" w:rsidR="000D37E1" w:rsidRPr="003160F2" w:rsidRDefault="000D37E1" w:rsidP="00AB2EF5">
            <w:pPr>
              <w:spacing w:after="0"/>
              <w:rPr>
                <w:sz w:val="20"/>
                <w:szCs w:val="20"/>
                <w:lang w:eastAsia="cs-CZ"/>
              </w:rPr>
            </w:pPr>
            <w:r w:rsidRPr="003160F2">
              <w:rPr>
                <w:sz w:val="20"/>
                <w:szCs w:val="20"/>
              </w:rPr>
              <w:t>17,4</w:t>
            </w:r>
          </w:p>
        </w:tc>
        <w:tc>
          <w:tcPr>
            <w:tcW w:w="885" w:type="dxa"/>
            <w:tcBorders>
              <w:top w:val="nil"/>
              <w:left w:val="single" w:sz="6" w:space="0" w:color="auto"/>
              <w:bottom w:val="nil"/>
              <w:right w:val="single" w:sz="6" w:space="0" w:color="auto"/>
            </w:tcBorders>
            <w:shd w:val="clear" w:color="auto" w:fill="EEECE1"/>
          </w:tcPr>
          <w:p w14:paraId="7F89F06C" w14:textId="77777777" w:rsidR="000D37E1" w:rsidRPr="003160F2" w:rsidRDefault="000D37E1" w:rsidP="00AB2EF5">
            <w:pPr>
              <w:spacing w:after="0"/>
              <w:rPr>
                <w:sz w:val="20"/>
                <w:szCs w:val="20"/>
              </w:rPr>
            </w:pPr>
            <w:r w:rsidRPr="003160F2">
              <w:rPr>
                <w:sz w:val="20"/>
                <w:szCs w:val="20"/>
              </w:rPr>
              <w:t>11,5</w:t>
            </w:r>
          </w:p>
        </w:tc>
      </w:tr>
    </w:tbl>
    <w:p w14:paraId="54293242" w14:textId="4FC0960C" w:rsidR="000D37E1" w:rsidRPr="003160F2" w:rsidRDefault="000D37E1" w:rsidP="00AB2EF5">
      <w:pPr>
        <w:spacing w:after="0"/>
        <w:rPr>
          <w:i/>
          <w:iCs/>
          <w:sz w:val="20"/>
          <w:szCs w:val="20"/>
        </w:rPr>
      </w:pPr>
      <w:r w:rsidRPr="003160F2">
        <w:rPr>
          <w:i/>
          <w:iCs/>
          <w:sz w:val="20"/>
          <w:szCs w:val="20"/>
        </w:rPr>
        <w:t xml:space="preserve">Source: Labour Force Survey – LFS, UDB 2012-2015 In: </w:t>
      </w:r>
      <w:proofErr w:type="spellStart"/>
      <w:r w:rsidRPr="003160F2">
        <w:rPr>
          <w:i/>
          <w:iCs/>
          <w:sz w:val="20"/>
          <w:szCs w:val="20"/>
        </w:rPr>
        <w:t>Vybrané</w:t>
      </w:r>
      <w:proofErr w:type="spellEnd"/>
      <w:r w:rsidRPr="003160F2">
        <w:rPr>
          <w:i/>
          <w:iCs/>
          <w:sz w:val="20"/>
          <w:szCs w:val="20"/>
        </w:rPr>
        <w:t xml:space="preserve"> </w:t>
      </w:r>
      <w:proofErr w:type="spellStart"/>
      <w:r w:rsidRPr="003160F2">
        <w:rPr>
          <w:i/>
          <w:iCs/>
          <w:sz w:val="20"/>
          <w:szCs w:val="20"/>
        </w:rPr>
        <w:t>indikátory</w:t>
      </w:r>
      <w:proofErr w:type="spellEnd"/>
      <w:r w:rsidRPr="003160F2">
        <w:rPr>
          <w:i/>
          <w:iCs/>
          <w:sz w:val="20"/>
          <w:szCs w:val="20"/>
        </w:rPr>
        <w:t xml:space="preserve"> </w:t>
      </w:r>
      <w:proofErr w:type="spellStart"/>
      <w:r w:rsidRPr="003160F2">
        <w:rPr>
          <w:i/>
          <w:iCs/>
          <w:sz w:val="20"/>
          <w:szCs w:val="20"/>
        </w:rPr>
        <w:t>sociálnej</w:t>
      </w:r>
      <w:proofErr w:type="spellEnd"/>
      <w:r w:rsidRPr="003160F2">
        <w:rPr>
          <w:i/>
          <w:iCs/>
          <w:sz w:val="20"/>
          <w:szCs w:val="20"/>
        </w:rPr>
        <w:t xml:space="preserve"> </w:t>
      </w:r>
      <w:proofErr w:type="spellStart"/>
      <w:r w:rsidRPr="003160F2">
        <w:rPr>
          <w:i/>
          <w:iCs/>
          <w:sz w:val="20"/>
          <w:szCs w:val="20"/>
        </w:rPr>
        <w:t>situácie</w:t>
      </w:r>
      <w:proofErr w:type="spellEnd"/>
      <w:r w:rsidRPr="003160F2">
        <w:rPr>
          <w:i/>
          <w:iCs/>
          <w:sz w:val="20"/>
          <w:szCs w:val="20"/>
        </w:rPr>
        <w:t xml:space="preserve"> </w:t>
      </w:r>
      <w:proofErr w:type="spellStart"/>
      <w:r w:rsidRPr="003160F2">
        <w:rPr>
          <w:i/>
          <w:iCs/>
          <w:sz w:val="20"/>
          <w:szCs w:val="20"/>
        </w:rPr>
        <w:t>osôb</w:t>
      </w:r>
      <w:proofErr w:type="spellEnd"/>
      <w:r w:rsidRPr="003160F2">
        <w:rPr>
          <w:i/>
          <w:iCs/>
          <w:sz w:val="20"/>
          <w:szCs w:val="20"/>
        </w:rPr>
        <w:t xml:space="preserve"> so </w:t>
      </w:r>
      <w:proofErr w:type="spellStart"/>
      <w:r w:rsidRPr="003160F2">
        <w:rPr>
          <w:i/>
          <w:iCs/>
          <w:sz w:val="20"/>
          <w:szCs w:val="20"/>
        </w:rPr>
        <w:t>zdravotným</w:t>
      </w:r>
      <w:proofErr w:type="spellEnd"/>
      <w:r w:rsidRPr="003160F2">
        <w:rPr>
          <w:i/>
          <w:iCs/>
          <w:sz w:val="20"/>
          <w:szCs w:val="20"/>
        </w:rPr>
        <w:t xml:space="preserve"> </w:t>
      </w:r>
      <w:proofErr w:type="spellStart"/>
      <w:r w:rsidRPr="003160F2">
        <w:rPr>
          <w:i/>
          <w:iCs/>
          <w:sz w:val="20"/>
          <w:szCs w:val="20"/>
        </w:rPr>
        <w:t>postihnutím</w:t>
      </w:r>
      <w:proofErr w:type="spellEnd"/>
      <w:r w:rsidRPr="003160F2">
        <w:rPr>
          <w:i/>
          <w:iCs/>
          <w:sz w:val="20"/>
          <w:szCs w:val="20"/>
        </w:rPr>
        <w:t xml:space="preserve"> [Selected indicators of social situation of PWD] (2016). Bratislava: Statistical Office of the Slovak Republic.</w:t>
      </w:r>
      <w:r w:rsidR="005A62BD" w:rsidRPr="003160F2">
        <w:rPr>
          <w:i/>
          <w:iCs/>
          <w:sz w:val="20"/>
          <w:szCs w:val="20"/>
        </w:rPr>
        <w:t xml:space="preserve"> </w:t>
      </w:r>
    </w:p>
    <w:p w14:paraId="4B79E80A" w14:textId="77777777" w:rsidR="000D37E1" w:rsidRPr="005A62BD" w:rsidRDefault="000D37E1" w:rsidP="00AB2EF5">
      <w:pPr>
        <w:pStyle w:val="Graf"/>
        <w:spacing w:after="0" w:line="240" w:lineRule="auto"/>
        <w:jc w:val="left"/>
        <w:rPr>
          <w:rFonts w:ascii="Arial" w:hAnsi="Arial" w:cs="Arial"/>
          <w:lang w:val="en-GB"/>
        </w:rPr>
      </w:pPr>
    </w:p>
    <w:p w14:paraId="1EC7AE36" w14:textId="77777777" w:rsidR="007B0EDB" w:rsidRPr="003160F2" w:rsidRDefault="007654F5" w:rsidP="00AB2EF5">
      <w:pPr>
        <w:pStyle w:val="Graf"/>
        <w:spacing w:after="0" w:line="240" w:lineRule="auto"/>
        <w:jc w:val="left"/>
        <w:rPr>
          <w:rFonts w:ascii="Arial" w:hAnsi="Arial" w:cs="Arial"/>
          <w:b/>
          <w:bCs/>
          <w:i w:val="0"/>
          <w:iCs/>
          <w:sz w:val="20"/>
          <w:szCs w:val="20"/>
          <w:lang w:val="en-GB"/>
        </w:rPr>
      </w:pPr>
      <w:bookmarkStart w:id="10" w:name="_Toc472086414"/>
      <w:r w:rsidRPr="003160F2">
        <w:rPr>
          <w:rFonts w:ascii="Arial" w:hAnsi="Arial" w:cs="Arial"/>
          <w:b/>
          <w:bCs/>
          <w:i w:val="0"/>
          <w:iCs/>
          <w:sz w:val="20"/>
          <w:szCs w:val="20"/>
          <w:lang w:val="en-GB"/>
        </w:rPr>
        <w:t>Graph</w:t>
      </w:r>
      <w:r w:rsidR="007B0EDB" w:rsidRPr="003160F2">
        <w:rPr>
          <w:rFonts w:ascii="Arial" w:hAnsi="Arial" w:cs="Arial"/>
          <w:b/>
          <w:bCs/>
          <w:i w:val="0"/>
          <w:iCs/>
          <w:sz w:val="20"/>
          <w:szCs w:val="20"/>
          <w:lang w:val="en-GB"/>
        </w:rPr>
        <w:t xml:space="preserve">: </w:t>
      </w:r>
      <w:r w:rsidRPr="003160F2">
        <w:rPr>
          <w:rFonts w:ascii="Arial" w:hAnsi="Arial" w:cs="Arial"/>
          <w:b/>
          <w:bCs/>
          <w:i w:val="0"/>
          <w:iCs/>
          <w:sz w:val="20"/>
          <w:szCs w:val="20"/>
          <w:lang w:val="en-GB"/>
        </w:rPr>
        <w:t xml:space="preserve">Economic activity data by age and disability </w:t>
      </w:r>
      <w:r w:rsidR="007B0EDB" w:rsidRPr="003160F2">
        <w:rPr>
          <w:rFonts w:ascii="Arial" w:hAnsi="Arial" w:cs="Arial"/>
          <w:b/>
          <w:bCs/>
          <w:i w:val="0"/>
          <w:iCs/>
          <w:sz w:val="20"/>
          <w:szCs w:val="20"/>
          <w:lang w:val="en-GB"/>
        </w:rPr>
        <w:t>(2015)</w:t>
      </w:r>
      <w:bookmarkEnd w:id="10"/>
    </w:p>
    <w:p w14:paraId="385D5671" w14:textId="27A12CC8" w:rsidR="004E2696" w:rsidRPr="005A62BD" w:rsidRDefault="004E2696" w:rsidP="00AB2EF5">
      <w:pPr>
        <w:pStyle w:val="Zdroj"/>
        <w:spacing w:after="0" w:line="240" w:lineRule="auto"/>
        <w:jc w:val="left"/>
        <w:rPr>
          <w:rFonts w:ascii="Arial" w:hAnsi="Arial"/>
          <w:sz w:val="24"/>
          <w:szCs w:val="24"/>
          <w:lang w:val="en-GB"/>
        </w:rPr>
      </w:pPr>
      <w:r w:rsidRPr="005A62BD">
        <w:rPr>
          <w:rFonts w:ascii="Arial" w:hAnsi="Arial"/>
          <w:noProof/>
          <w:sz w:val="24"/>
          <w:szCs w:val="24"/>
          <w:lang w:val="en-GB" w:eastAsia="zh-CN"/>
        </w:rPr>
        <w:drawing>
          <wp:inline distT="0" distB="0" distL="0" distR="0" wp14:anchorId="6D3FC953" wp14:editId="7621AC3C">
            <wp:extent cx="5759450" cy="2692400"/>
            <wp:effectExtent l="0" t="0" r="12700" b="1270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D1FB4A" w14:textId="2AC16B84" w:rsidR="007B0EDB" w:rsidRPr="003160F2" w:rsidRDefault="007B0EDB" w:rsidP="00AB2EF5">
      <w:pPr>
        <w:pStyle w:val="Zdroj"/>
        <w:spacing w:after="0" w:line="240" w:lineRule="auto"/>
        <w:jc w:val="left"/>
        <w:rPr>
          <w:rFonts w:ascii="Arial" w:hAnsi="Arial"/>
          <w:i/>
          <w:szCs w:val="20"/>
          <w:lang w:val="en-GB"/>
        </w:rPr>
      </w:pPr>
      <w:r w:rsidRPr="003160F2">
        <w:rPr>
          <w:rFonts w:ascii="Arial" w:hAnsi="Arial"/>
          <w:i/>
          <w:szCs w:val="20"/>
          <w:lang w:val="en-GB"/>
        </w:rPr>
        <w:t xml:space="preserve">Source: </w:t>
      </w:r>
      <w:r w:rsidR="00BA25CA" w:rsidRPr="003160F2">
        <w:rPr>
          <w:rFonts w:ascii="Arial" w:hAnsi="Arial"/>
          <w:bCs/>
          <w:i/>
          <w:szCs w:val="20"/>
          <w:lang w:val="en-GB"/>
        </w:rPr>
        <w:t xml:space="preserve">LFS UDB 2015 (Statistical Office </w:t>
      </w:r>
      <w:r w:rsidR="005A62BD" w:rsidRPr="003160F2">
        <w:rPr>
          <w:rFonts w:ascii="Arial" w:hAnsi="Arial"/>
          <w:bCs/>
          <w:i/>
          <w:szCs w:val="20"/>
          <w:lang w:val="en-GB"/>
        </w:rPr>
        <w:t>of the Slovak Republic, October</w:t>
      </w:r>
      <w:r w:rsidR="00BA25CA" w:rsidRPr="003160F2">
        <w:rPr>
          <w:rFonts w:ascii="Arial" w:hAnsi="Arial"/>
          <w:bCs/>
          <w:i/>
          <w:szCs w:val="20"/>
          <w:lang w:val="en-GB"/>
        </w:rPr>
        <w:t xml:space="preserve"> 2016)</w:t>
      </w:r>
    </w:p>
    <w:p w14:paraId="3B952C2E" w14:textId="759444A4" w:rsidR="006F3B50" w:rsidRPr="005A62BD" w:rsidRDefault="006F3B50" w:rsidP="00D73FC4">
      <w:pPr>
        <w:spacing w:after="0"/>
        <w:jc w:val="both"/>
        <w:rPr>
          <w:i/>
          <w:iCs/>
        </w:rPr>
      </w:pPr>
    </w:p>
    <w:p w14:paraId="64CCBE5F" w14:textId="77777777" w:rsidR="000E59E4" w:rsidRPr="005A62BD" w:rsidRDefault="00BF6032" w:rsidP="00D73FC4">
      <w:pPr>
        <w:pStyle w:val="Heading2"/>
      </w:pPr>
      <w:bookmarkStart w:id="11" w:name="_Toc499120873"/>
      <w:r w:rsidRPr="005A62BD">
        <w:t>Education</w:t>
      </w:r>
      <w:r w:rsidR="00D939BF" w:rsidRPr="005A62BD">
        <w:t xml:space="preserve"> data</w:t>
      </w:r>
      <w:bookmarkEnd w:id="11"/>
    </w:p>
    <w:p w14:paraId="1DB01E4D" w14:textId="77777777" w:rsidR="003C390B" w:rsidRPr="005A62BD" w:rsidRDefault="003C390B" w:rsidP="00D73FC4">
      <w:pPr>
        <w:spacing w:after="0"/>
        <w:jc w:val="both"/>
      </w:pPr>
    </w:p>
    <w:p w14:paraId="7791705B" w14:textId="77777777" w:rsidR="00631AB6" w:rsidRPr="005A62BD" w:rsidRDefault="00631AB6" w:rsidP="00D73FC4">
      <w:pPr>
        <w:pStyle w:val="BodyText"/>
        <w:spacing w:after="0"/>
        <w:jc w:val="both"/>
      </w:pPr>
      <w:r w:rsidRPr="005A62BD">
        <w:t>EU statistical comparisons are more limited concerning the education of young disabled women and men in the EU2020 target age groups. Data is available from EU-SILC (annually) as well as the Eurostat Labour Force Survey ad-hoc disability module (for 2011), but with low reliability for several countries on the key measures.</w:t>
      </w:r>
      <w:r w:rsidRPr="005A62BD">
        <w:rPr>
          <w:rStyle w:val="FootnoteReference"/>
        </w:rPr>
        <w:footnoteReference w:id="10"/>
      </w:r>
      <w:r w:rsidRPr="005A62BD">
        <w:t xml:space="preserve"> Using a wider age range can improve reliability but estimations by gender remain indicative. EU trends are evident but administrative data may offer more reliable alternatives to identify national trends, where available. Confidence intervals for the disability group are wide on both indicators at the national level but reliable at the EU level. An average over several years may provide a more robust national indication.</w:t>
      </w:r>
    </w:p>
    <w:p w14:paraId="21903C56" w14:textId="40FFC45A" w:rsidR="00631AB6" w:rsidRPr="005A62BD" w:rsidRDefault="00631AB6" w:rsidP="00D73FC4">
      <w:pPr>
        <w:pStyle w:val="BodyText"/>
        <w:spacing w:after="0"/>
        <w:jc w:val="both"/>
      </w:pPr>
      <w:r w:rsidRPr="005A62BD">
        <w:lastRenderedPageBreak/>
        <w:t>There was also a change from ISCED 1997 to ISCED 2011 qualification definitions in 2014 although some Member States continued to use the older definition in 2015.</w:t>
      </w:r>
    </w:p>
    <w:p w14:paraId="085738ED" w14:textId="77777777" w:rsidR="005A62BD" w:rsidRPr="005A62BD" w:rsidRDefault="005A62BD" w:rsidP="00D73FC4">
      <w:pPr>
        <w:pStyle w:val="BodyText"/>
        <w:spacing w:after="0"/>
        <w:jc w:val="both"/>
      </w:pPr>
    </w:p>
    <w:p w14:paraId="35676AA9" w14:textId="3902C309" w:rsidR="00631AB6" w:rsidRPr="005A62BD" w:rsidRDefault="00631AB6" w:rsidP="003B54BB">
      <w:pPr>
        <w:pStyle w:val="Heading3"/>
        <w:jc w:val="both"/>
      </w:pPr>
      <w:bookmarkStart w:id="12" w:name="_Toc429999639"/>
      <w:bookmarkStart w:id="13" w:name="_Toc499120874"/>
      <w:r w:rsidRPr="005A62BD">
        <w:t>Early school leavers</w:t>
      </w:r>
      <w:bookmarkEnd w:id="12"/>
      <w:bookmarkEnd w:id="13"/>
    </w:p>
    <w:p w14:paraId="3A010E01" w14:textId="77777777" w:rsidR="005A62BD" w:rsidRPr="005A62BD" w:rsidRDefault="005A62BD" w:rsidP="003B54BB">
      <w:pPr>
        <w:spacing w:after="0"/>
        <w:jc w:val="both"/>
      </w:pPr>
    </w:p>
    <w:p w14:paraId="5B73B0CE" w14:textId="1D478F62" w:rsidR="00631AB6" w:rsidRPr="005A62BD" w:rsidRDefault="00631AB6" w:rsidP="003B54BB">
      <w:pPr>
        <w:pStyle w:val="BodyText"/>
        <w:spacing w:after="0"/>
        <w:jc w:val="both"/>
      </w:pPr>
      <w:r w:rsidRPr="005A62BD">
        <w:t>The EU-SILC sample for the target age group (aged 18-24) includes the following number of people reporting activity ‘limitation’ (as a proxy for impairment/disability).</w:t>
      </w:r>
    </w:p>
    <w:p w14:paraId="5D546E0E" w14:textId="77777777" w:rsidR="005A62BD" w:rsidRPr="005A62BD" w:rsidRDefault="005A62BD" w:rsidP="00AB2EF5">
      <w:pPr>
        <w:pStyle w:val="BodyText"/>
        <w:spacing w:after="0"/>
      </w:pPr>
    </w:p>
    <w:p w14:paraId="0052BFC2" w14:textId="77777777" w:rsidR="00631AB6" w:rsidRPr="005A62BD" w:rsidRDefault="00631AB6"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12</w:t>
      </w:r>
      <w:r w:rsidR="00AB2EF5" w:rsidRPr="005A62BD">
        <w:rPr>
          <w:noProof/>
          <w:sz w:val="24"/>
          <w:szCs w:val="24"/>
        </w:rPr>
        <w:fldChar w:fldCharType="end"/>
      </w:r>
      <w:r w:rsidRPr="005A62BD">
        <w:rPr>
          <w:sz w:val="24"/>
          <w:szCs w:val="24"/>
        </w:rPr>
        <w:t>: EU-SILC sample size in the target age group 18-24 versus 18-29</w:t>
      </w:r>
    </w:p>
    <w:tbl>
      <w:tblPr>
        <w:tblStyle w:val="TableGrid"/>
        <w:tblW w:w="0" w:type="auto"/>
        <w:tblLook w:val="04A0" w:firstRow="1" w:lastRow="0" w:firstColumn="1" w:lastColumn="0" w:noHBand="0" w:noVBand="1"/>
      </w:tblPr>
      <w:tblGrid>
        <w:gridCol w:w="1718"/>
        <w:gridCol w:w="2000"/>
        <w:gridCol w:w="1784"/>
        <w:gridCol w:w="2000"/>
        <w:gridCol w:w="1784"/>
      </w:tblGrid>
      <w:tr w:rsidR="00631AB6" w:rsidRPr="005A62BD" w14:paraId="45782547" w14:textId="77777777" w:rsidTr="003D3619">
        <w:tc>
          <w:tcPr>
            <w:tcW w:w="0" w:type="auto"/>
          </w:tcPr>
          <w:p w14:paraId="01931EB1" w14:textId="77777777" w:rsidR="00631AB6" w:rsidRPr="005A62BD" w:rsidRDefault="00631AB6" w:rsidP="00AB2EF5">
            <w:pPr>
              <w:spacing w:after="0"/>
              <w:rPr>
                <w:b/>
              </w:rPr>
            </w:pPr>
          </w:p>
        </w:tc>
        <w:tc>
          <w:tcPr>
            <w:tcW w:w="0" w:type="auto"/>
            <w:gridSpan w:val="2"/>
          </w:tcPr>
          <w:p w14:paraId="040D1C09" w14:textId="77777777" w:rsidR="00631AB6" w:rsidRPr="005A62BD" w:rsidRDefault="00631AB6" w:rsidP="00AB2EF5">
            <w:pPr>
              <w:spacing w:after="0"/>
              <w:rPr>
                <w:b/>
              </w:rPr>
            </w:pPr>
            <w:r w:rsidRPr="005A62BD">
              <w:rPr>
                <w:b/>
              </w:rPr>
              <w:t>Age 18-24</w:t>
            </w:r>
          </w:p>
        </w:tc>
        <w:tc>
          <w:tcPr>
            <w:tcW w:w="0" w:type="auto"/>
            <w:gridSpan w:val="2"/>
          </w:tcPr>
          <w:p w14:paraId="05F93BCF" w14:textId="77777777" w:rsidR="00631AB6" w:rsidRPr="005A62BD" w:rsidRDefault="00631AB6" w:rsidP="00AB2EF5">
            <w:pPr>
              <w:spacing w:after="0"/>
              <w:rPr>
                <w:b/>
              </w:rPr>
            </w:pPr>
            <w:r w:rsidRPr="005A62BD">
              <w:rPr>
                <w:b/>
              </w:rPr>
              <w:t>Age 18-29</w:t>
            </w:r>
          </w:p>
        </w:tc>
      </w:tr>
      <w:tr w:rsidR="00631AB6" w:rsidRPr="005A62BD" w14:paraId="2B175312" w14:textId="77777777" w:rsidTr="003D3619">
        <w:tc>
          <w:tcPr>
            <w:tcW w:w="0" w:type="auto"/>
          </w:tcPr>
          <w:p w14:paraId="2D3AEDA9" w14:textId="77777777" w:rsidR="00631AB6" w:rsidRPr="005A62BD" w:rsidRDefault="00631AB6" w:rsidP="00AB2EF5">
            <w:pPr>
              <w:spacing w:after="0"/>
              <w:rPr>
                <w:b/>
              </w:rPr>
            </w:pPr>
          </w:p>
        </w:tc>
        <w:tc>
          <w:tcPr>
            <w:tcW w:w="0" w:type="auto"/>
          </w:tcPr>
          <w:p w14:paraId="48BC3034" w14:textId="77777777" w:rsidR="00631AB6" w:rsidRPr="005A62BD" w:rsidRDefault="00631AB6" w:rsidP="00AB2EF5">
            <w:pPr>
              <w:spacing w:after="0"/>
            </w:pPr>
            <w:r w:rsidRPr="005A62BD">
              <w:t>No activity ‘limitation’</w:t>
            </w:r>
          </w:p>
        </w:tc>
        <w:tc>
          <w:tcPr>
            <w:tcW w:w="0" w:type="auto"/>
          </w:tcPr>
          <w:p w14:paraId="7692237D" w14:textId="77777777" w:rsidR="00631AB6" w:rsidRPr="005A62BD" w:rsidRDefault="00631AB6" w:rsidP="00AB2EF5">
            <w:pPr>
              <w:spacing w:after="0"/>
            </w:pPr>
            <w:r w:rsidRPr="005A62BD">
              <w:t>Activity ‘limitation’</w:t>
            </w:r>
          </w:p>
        </w:tc>
        <w:tc>
          <w:tcPr>
            <w:tcW w:w="0" w:type="auto"/>
          </w:tcPr>
          <w:p w14:paraId="5F686220" w14:textId="77777777" w:rsidR="00631AB6" w:rsidRPr="005A62BD" w:rsidRDefault="00631AB6" w:rsidP="00AB2EF5">
            <w:pPr>
              <w:spacing w:after="0"/>
            </w:pPr>
            <w:r w:rsidRPr="005A62BD">
              <w:t>No activity ‘limitation’</w:t>
            </w:r>
          </w:p>
        </w:tc>
        <w:tc>
          <w:tcPr>
            <w:tcW w:w="0" w:type="auto"/>
          </w:tcPr>
          <w:p w14:paraId="42895F3C" w14:textId="77777777" w:rsidR="00631AB6" w:rsidRPr="005A62BD" w:rsidRDefault="00631AB6" w:rsidP="00AB2EF5">
            <w:pPr>
              <w:spacing w:after="0"/>
            </w:pPr>
            <w:r w:rsidRPr="005A62BD">
              <w:t>Activity ‘limitation’</w:t>
            </w:r>
          </w:p>
        </w:tc>
      </w:tr>
      <w:tr w:rsidR="00631AB6" w:rsidRPr="005A62BD" w14:paraId="4644424E" w14:textId="77777777" w:rsidTr="003D3619">
        <w:tc>
          <w:tcPr>
            <w:tcW w:w="0" w:type="auto"/>
          </w:tcPr>
          <w:p w14:paraId="38DA9DF3" w14:textId="77777777" w:rsidR="00631AB6" w:rsidRPr="005A62BD" w:rsidRDefault="00631AB6" w:rsidP="00AB2EF5">
            <w:pPr>
              <w:spacing w:after="0"/>
              <w:rPr>
                <w:b/>
              </w:rPr>
            </w:pPr>
            <w:r w:rsidRPr="005A62BD">
              <w:rPr>
                <w:b/>
              </w:rPr>
              <w:t>EU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5EA46E6" w14:textId="77777777" w:rsidR="00631AB6" w:rsidRPr="005A62BD" w:rsidRDefault="00631AB6" w:rsidP="00AB2EF5">
            <w:pPr>
              <w:spacing w:after="0"/>
            </w:pPr>
            <w:r w:rsidRPr="005A62BD">
              <w:t>32,733</w:t>
            </w:r>
          </w:p>
        </w:tc>
        <w:tc>
          <w:tcPr>
            <w:tcW w:w="0" w:type="auto"/>
            <w:tcBorders>
              <w:top w:val="single" w:sz="4" w:space="0" w:color="auto"/>
              <w:left w:val="nil"/>
              <w:bottom w:val="single" w:sz="4" w:space="0" w:color="auto"/>
              <w:right w:val="single" w:sz="4" w:space="0" w:color="auto"/>
            </w:tcBorders>
            <w:shd w:val="clear" w:color="auto" w:fill="auto"/>
            <w:vAlign w:val="bottom"/>
          </w:tcPr>
          <w:p w14:paraId="77AEB44D" w14:textId="77777777" w:rsidR="00631AB6" w:rsidRPr="005A62BD" w:rsidRDefault="00631AB6" w:rsidP="00AB2EF5">
            <w:pPr>
              <w:spacing w:after="0"/>
            </w:pPr>
            <w:r w:rsidRPr="005A62BD">
              <w:t>2,673</w:t>
            </w:r>
          </w:p>
        </w:tc>
        <w:tc>
          <w:tcPr>
            <w:tcW w:w="0" w:type="auto"/>
            <w:tcBorders>
              <w:top w:val="single" w:sz="4" w:space="0" w:color="auto"/>
              <w:left w:val="nil"/>
              <w:bottom w:val="single" w:sz="4" w:space="0" w:color="auto"/>
              <w:right w:val="single" w:sz="4" w:space="0" w:color="auto"/>
            </w:tcBorders>
            <w:shd w:val="clear" w:color="auto" w:fill="auto"/>
            <w:vAlign w:val="bottom"/>
          </w:tcPr>
          <w:p w14:paraId="0447EA82" w14:textId="77777777" w:rsidR="00631AB6" w:rsidRPr="005A62BD" w:rsidRDefault="00631AB6" w:rsidP="00AB2EF5">
            <w:pPr>
              <w:spacing w:after="0"/>
            </w:pPr>
            <w:r w:rsidRPr="005A62BD">
              <w:t>54,418</w:t>
            </w:r>
          </w:p>
        </w:tc>
        <w:tc>
          <w:tcPr>
            <w:tcW w:w="0" w:type="auto"/>
            <w:tcBorders>
              <w:top w:val="single" w:sz="4" w:space="0" w:color="auto"/>
              <w:left w:val="nil"/>
              <w:bottom w:val="single" w:sz="4" w:space="0" w:color="auto"/>
              <w:right w:val="single" w:sz="4" w:space="0" w:color="auto"/>
            </w:tcBorders>
            <w:shd w:val="clear" w:color="auto" w:fill="auto"/>
            <w:vAlign w:val="bottom"/>
          </w:tcPr>
          <w:p w14:paraId="55FC2C81" w14:textId="77777777" w:rsidR="00631AB6" w:rsidRPr="005A62BD" w:rsidRDefault="00631AB6" w:rsidP="00AB2EF5">
            <w:pPr>
              <w:spacing w:after="0"/>
            </w:pPr>
            <w:r w:rsidRPr="005A62BD">
              <w:t>4,840</w:t>
            </w:r>
          </w:p>
        </w:tc>
      </w:tr>
      <w:tr w:rsidR="00631AB6" w:rsidRPr="005A62BD" w14:paraId="7D39E479" w14:textId="77777777" w:rsidTr="003D3619">
        <w:tc>
          <w:tcPr>
            <w:tcW w:w="0" w:type="auto"/>
          </w:tcPr>
          <w:p w14:paraId="43B08453" w14:textId="77777777" w:rsidR="00631AB6" w:rsidRPr="005A62BD" w:rsidRDefault="00631AB6" w:rsidP="00AB2EF5">
            <w:pPr>
              <w:spacing w:after="0"/>
              <w:rPr>
                <w:b/>
              </w:rPr>
            </w:pPr>
            <w:r w:rsidRPr="005A62BD">
              <w:rPr>
                <w:b/>
              </w:rPr>
              <w:t>National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D143C2" w14:textId="77777777" w:rsidR="00631AB6" w:rsidRPr="005A62BD" w:rsidRDefault="00631AB6" w:rsidP="00AB2EF5">
            <w:pPr>
              <w:spacing w:after="0"/>
            </w:pPr>
            <w:r w:rsidRPr="005A62BD">
              <w:t>1,590</w:t>
            </w:r>
          </w:p>
        </w:tc>
        <w:tc>
          <w:tcPr>
            <w:tcW w:w="0" w:type="auto"/>
            <w:tcBorders>
              <w:top w:val="single" w:sz="4" w:space="0" w:color="auto"/>
              <w:left w:val="nil"/>
              <w:bottom w:val="single" w:sz="4" w:space="0" w:color="auto"/>
              <w:right w:val="single" w:sz="4" w:space="0" w:color="auto"/>
            </w:tcBorders>
            <w:shd w:val="clear" w:color="auto" w:fill="auto"/>
            <w:vAlign w:val="bottom"/>
          </w:tcPr>
          <w:p w14:paraId="282160FD" w14:textId="77777777" w:rsidR="00631AB6" w:rsidRPr="005A62BD" w:rsidRDefault="00631AB6" w:rsidP="00AB2EF5">
            <w:pPr>
              <w:spacing w:after="0"/>
            </w:pPr>
            <w:r w:rsidRPr="005A62BD">
              <w:t>125</w:t>
            </w:r>
          </w:p>
        </w:tc>
        <w:tc>
          <w:tcPr>
            <w:tcW w:w="0" w:type="auto"/>
            <w:tcBorders>
              <w:top w:val="single" w:sz="4" w:space="0" w:color="auto"/>
              <w:left w:val="nil"/>
              <w:bottom w:val="single" w:sz="4" w:space="0" w:color="auto"/>
              <w:right w:val="single" w:sz="4" w:space="0" w:color="auto"/>
            </w:tcBorders>
            <w:shd w:val="clear" w:color="auto" w:fill="auto"/>
            <w:vAlign w:val="bottom"/>
          </w:tcPr>
          <w:p w14:paraId="239298E3" w14:textId="77777777" w:rsidR="00631AB6" w:rsidRPr="005A62BD" w:rsidRDefault="00631AB6" w:rsidP="00AB2EF5">
            <w:pPr>
              <w:spacing w:after="0"/>
            </w:pPr>
            <w:r w:rsidRPr="005A62BD">
              <w:t>2,610</w:t>
            </w:r>
          </w:p>
        </w:tc>
        <w:tc>
          <w:tcPr>
            <w:tcW w:w="0" w:type="auto"/>
            <w:tcBorders>
              <w:top w:val="single" w:sz="4" w:space="0" w:color="auto"/>
              <w:left w:val="nil"/>
              <w:bottom w:val="single" w:sz="4" w:space="0" w:color="auto"/>
              <w:right w:val="single" w:sz="4" w:space="0" w:color="auto"/>
            </w:tcBorders>
            <w:shd w:val="clear" w:color="auto" w:fill="auto"/>
            <w:vAlign w:val="bottom"/>
          </w:tcPr>
          <w:p w14:paraId="4A00012C" w14:textId="77777777" w:rsidR="00631AB6" w:rsidRPr="005A62BD" w:rsidRDefault="00631AB6" w:rsidP="00AB2EF5">
            <w:pPr>
              <w:spacing w:after="0"/>
            </w:pPr>
            <w:r w:rsidRPr="005A62BD">
              <w:t>215</w:t>
            </w:r>
          </w:p>
        </w:tc>
      </w:tr>
    </w:tbl>
    <w:p w14:paraId="30FF00F3" w14:textId="77777777" w:rsidR="00631AB6" w:rsidRPr="005A62BD" w:rsidRDefault="00631AB6"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41D44205" w14:textId="77777777" w:rsidR="00631AB6" w:rsidRPr="005A62BD" w:rsidRDefault="00631AB6" w:rsidP="00AB2EF5">
      <w:pPr>
        <w:spacing w:after="0"/>
      </w:pPr>
    </w:p>
    <w:p w14:paraId="06F58832" w14:textId="77777777" w:rsidR="00631AB6" w:rsidRPr="005A62BD" w:rsidRDefault="00631AB6"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13</w:t>
      </w:r>
      <w:r w:rsidR="00AB2EF5" w:rsidRPr="005A62BD">
        <w:rPr>
          <w:noProof/>
          <w:sz w:val="24"/>
          <w:szCs w:val="24"/>
        </w:rPr>
        <w:fldChar w:fldCharType="end"/>
      </w:r>
      <w:r w:rsidRPr="005A62BD">
        <w:rPr>
          <w:sz w:val="24"/>
          <w:szCs w:val="24"/>
        </w:rPr>
        <w:t xml:space="preserve">: </w:t>
      </w:r>
      <w:r w:rsidRPr="005A62BD">
        <w:rPr>
          <w:noProof/>
          <w:sz w:val="24"/>
          <w:szCs w:val="24"/>
        </w:rPr>
        <w:t>Early school leavers aged 18-24 (indicative based on above sample size)</w:t>
      </w:r>
    </w:p>
    <w:p w14:paraId="1476997E" w14:textId="77777777" w:rsidR="00631AB6" w:rsidRPr="005A62BD" w:rsidRDefault="00631AB6" w:rsidP="00AB2EF5">
      <w:pPr>
        <w:spacing w:after="0"/>
      </w:pPr>
      <w:r w:rsidRPr="005A62BD">
        <w:rPr>
          <w:noProof/>
          <w:lang w:eastAsia="zh-CN"/>
        </w:rPr>
        <w:drawing>
          <wp:inline distT="0" distB="0" distL="0" distR="0" wp14:anchorId="3019BB66" wp14:editId="66370B00">
            <wp:extent cx="5486400" cy="23640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EB3A83" w14:textId="77777777" w:rsidR="00631AB6" w:rsidRPr="005A62BD" w:rsidRDefault="00631AB6" w:rsidP="00D73FC4">
      <w:pPr>
        <w:pStyle w:val="Sourcereference"/>
        <w:spacing w:after="0"/>
        <w:jc w:val="both"/>
        <w:rPr>
          <w:sz w:val="24"/>
          <w:lang w:eastAsia="en-GB"/>
        </w:rPr>
      </w:pPr>
      <w:r w:rsidRPr="005A62BD">
        <w:rPr>
          <w:sz w:val="24"/>
        </w:rPr>
        <w:t xml:space="preserve">Source: </w:t>
      </w:r>
      <w:r w:rsidRPr="005A62BD">
        <w:rPr>
          <w:sz w:val="24"/>
          <w:lang w:eastAsia="en-GB"/>
        </w:rPr>
        <w:t>EUSILC UDB 2015 – version of October 2017</w:t>
      </w:r>
    </w:p>
    <w:p w14:paraId="01EFD738" w14:textId="15BF7319" w:rsidR="00EA5FB9" w:rsidRPr="005A62BD" w:rsidRDefault="00631AB6" w:rsidP="00D73FC4">
      <w:pPr>
        <w:pStyle w:val="Sourcereference"/>
        <w:spacing w:after="0"/>
        <w:jc w:val="both"/>
        <w:rPr>
          <w:sz w:val="24"/>
          <w:lang w:eastAsia="en-GB"/>
        </w:rPr>
      </w:pPr>
      <w:r w:rsidRPr="005A62BD">
        <w:rPr>
          <w:sz w:val="24"/>
          <w:lang w:eastAsia="en-GB"/>
        </w:rPr>
        <w:t>Note: The confidence intervals for disability group are large and so the reliability is low. It may be more useful to consider an average of several years</w:t>
      </w:r>
    </w:p>
    <w:p w14:paraId="69203D88" w14:textId="2BCC7AEF" w:rsidR="00EA5FB9" w:rsidRPr="005A62BD" w:rsidRDefault="00EA5FB9" w:rsidP="00D73FC4">
      <w:pPr>
        <w:spacing w:after="0"/>
        <w:jc w:val="both"/>
        <w:rPr>
          <w:lang w:eastAsia="en-GB"/>
        </w:rPr>
      </w:pPr>
    </w:p>
    <w:p w14:paraId="14E58179" w14:textId="77777777" w:rsidR="00A11B34" w:rsidRPr="005A62BD" w:rsidRDefault="00EA5FB9" w:rsidP="00D73FC4">
      <w:pPr>
        <w:pStyle w:val="Un-numberedsubheading"/>
        <w:spacing w:after="0"/>
        <w:jc w:val="both"/>
        <w:rPr>
          <w:b w:val="0"/>
        </w:rPr>
      </w:pPr>
      <w:r w:rsidRPr="005A62BD">
        <w:t>Alternative data on disability and early school leavers provided by the national expert:</w:t>
      </w:r>
    </w:p>
    <w:p w14:paraId="43A4BB20" w14:textId="77777777" w:rsidR="00A11B34" w:rsidRPr="005A62BD" w:rsidRDefault="00A11B34" w:rsidP="00D73FC4">
      <w:pPr>
        <w:pStyle w:val="Un-numberedsubheading"/>
        <w:spacing w:after="0"/>
        <w:jc w:val="both"/>
        <w:rPr>
          <w:b w:val="0"/>
        </w:rPr>
      </w:pPr>
    </w:p>
    <w:p w14:paraId="21AB8EFF" w14:textId="2A234E01" w:rsidR="00E2756A" w:rsidRPr="005A62BD" w:rsidRDefault="00A11B34" w:rsidP="00D73FC4">
      <w:pPr>
        <w:pStyle w:val="Un-numberedsubheading"/>
        <w:spacing w:after="0"/>
        <w:jc w:val="both"/>
        <w:rPr>
          <w:b w:val="0"/>
        </w:rPr>
      </w:pPr>
      <w:r w:rsidRPr="005A62BD">
        <w:rPr>
          <w:b w:val="0"/>
        </w:rPr>
        <w:t>T</w:t>
      </w:r>
      <w:r w:rsidR="0047756F" w:rsidRPr="005A62BD">
        <w:rPr>
          <w:b w:val="0"/>
        </w:rPr>
        <w:t xml:space="preserve">he </w:t>
      </w:r>
      <w:r w:rsidR="005C42F7" w:rsidRPr="005A62BD">
        <w:rPr>
          <w:b w:val="0"/>
        </w:rPr>
        <w:t>data on early school leavers</w:t>
      </w:r>
      <w:r w:rsidR="0047756F" w:rsidRPr="005A62BD">
        <w:rPr>
          <w:b w:val="0"/>
        </w:rPr>
        <w:t xml:space="preserve"> are</w:t>
      </w:r>
      <w:r w:rsidR="005C42F7" w:rsidRPr="005A62BD">
        <w:rPr>
          <w:b w:val="0"/>
        </w:rPr>
        <w:t xml:space="preserve"> </w:t>
      </w:r>
      <w:r w:rsidR="0028665C" w:rsidRPr="005A62BD">
        <w:rPr>
          <w:b w:val="0"/>
        </w:rPr>
        <w:t>provide</w:t>
      </w:r>
      <w:r w:rsidR="0047756F" w:rsidRPr="005A62BD">
        <w:rPr>
          <w:b w:val="0"/>
        </w:rPr>
        <w:t>d by</w:t>
      </w:r>
      <w:r w:rsidR="005C42F7" w:rsidRPr="005A62BD">
        <w:rPr>
          <w:b w:val="0"/>
        </w:rPr>
        <w:t xml:space="preserve"> </w:t>
      </w:r>
      <w:r w:rsidR="0028665C" w:rsidRPr="005A62BD">
        <w:rPr>
          <w:b w:val="0"/>
        </w:rPr>
        <w:t xml:space="preserve">annual averages of quarterly Labour Force Survey </w:t>
      </w:r>
      <w:r w:rsidR="005C42F7" w:rsidRPr="005A62BD">
        <w:rPr>
          <w:b w:val="0"/>
        </w:rPr>
        <w:t>(LFS)</w:t>
      </w:r>
      <w:r w:rsidR="0028665C" w:rsidRPr="005A62BD">
        <w:rPr>
          <w:b w:val="0"/>
        </w:rPr>
        <w:t xml:space="preserve">. </w:t>
      </w:r>
      <w:r w:rsidR="0047756F" w:rsidRPr="005A62BD">
        <w:rPr>
          <w:b w:val="0"/>
        </w:rPr>
        <w:t>However</w:t>
      </w:r>
      <w:r w:rsidR="003B54BB">
        <w:rPr>
          <w:b w:val="0"/>
        </w:rPr>
        <w:t>,</w:t>
      </w:r>
      <w:r w:rsidR="0047756F" w:rsidRPr="005A62BD">
        <w:rPr>
          <w:b w:val="0"/>
        </w:rPr>
        <w:t xml:space="preserve"> t</w:t>
      </w:r>
      <w:r w:rsidR="0028665C" w:rsidRPr="005A62BD">
        <w:rPr>
          <w:b w:val="0"/>
        </w:rPr>
        <w:t>hese data comprise the whole population</w:t>
      </w:r>
      <w:r w:rsidR="0047756F" w:rsidRPr="005A62BD">
        <w:rPr>
          <w:b w:val="0"/>
        </w:rPr>
        <w:t xml:space="preserve"> aged 18-24</w:t>
      </w:r>
      <w:r w:rsidR="00130750" w:rsidRPr="005A62BD">
        <w:rPr>
          <w:b w:val="0"/>
        </w:rPr>
        <w:t xml:space="preserve"> and</w:t>
      </w:r>
      <w:r w:rsidR="0028665C" w:rsidRPr="005A62BD">
        <w:rPr>
          <w:b w:val="0"/>
        </w:rPr>
        <w:t xml:space="preserve"> </w:t>
      </w:r>
      <w:r w:rsidR="00130750" w:rsidRPr="005A62BD">
        <w:rPr>
          <w:b w:val="0"/>
        </w:rPr>
        <w:t>t</w:t>
      </w:r>
      <w:r w:rsidR="0047756F" w:rsidRPr="005A62BD">
        <w:rPr>
          <w:b w:val="0"/>
        </w:rPr>
        <w:t>here is</w:t>
      </w:r>
      <w:r w:rsidR="0028665C" w:rsidRPr="005A62BD">
        <w:rPr>
          <w:b w:val="0"/>
        </w:rPr>
        <w:t xml:space="preserve"> not any category of early</w:t>
      </w:r>
      <w:r w:rsidR="003C390B" w:rsidRPr="005A62BD">
        <w:rPr>
          <w:b w:val="0"/>
        </w:rPr>
        <w:t xml:space="preserve"> school leavers with disability</w:t>
      </w:r>
      <w:r w:rsidR="00A974EC" w:rsidRPr="005A62BD">
        <w:rPr>
          <w:b w:val="0"/>
        </w:rPr>
        <w:t xml:space="preserve"> in generally published data.</w:t>
      </w:r>
    </w:p>
    <w:p w14:paraId="4D999458" w14:textId="77777777" w:rsidR="003C390B" w:rsidRPr="005A62BD" w:rsidRDefault="003C390B" w:rsidP="00D73FC4">
      <w:pPr>
        <w:pStyle w:val="Un-numberedsubheading"/>
        <w:spacing w:after="0"/>
        <w:jc w:val="both"/>
        <w:rPr>
          <w:b w:val="0"/>
        </w:rPr>
      </w:pPr>
    </w:p>
    <w:p w14:paraId="17DCC74B" w14:textId="49A8F7DD" w:rsidR="00A974EC" w:rsidRPr="005A62BD" w:rsidRDefault="00A974EC" w:rsidP="00D73FC4">
      <w:pPr>
        <w:pStyle w:val="Un-numberedsubheading"/>
        <w:spacing w:after="0"/>
        <w:jc w:val="both"/>
        <w:rPr>
          <w:b w:val="0"/>
        </w:rPr>
      </w:pPr>
      <w:r w:rsidRPr="005A62BD">
        <w:rPr>
          <w:b w:val="0"/>
        </w:rPr>
        <w:t xml:space="preserve">The following </w:t>
      </w:r>
      <w:r w:rsidR="00EE4AE4" w:rsidRPr="005A62BD">
        <w:rPr>
          <w:b w:val="0"/>
        </w:rPr>
        <w:t>chart</w:t>
      </w:r>
      <w:r w:rsidR="00153B8A" w:rsidRPr="005A62BD">
        <w:rPr>
          <w:b w:val="0"/>
        </w:rPr>
        <w:t>s</w:t>
      </w:r>
      <w:r w:rsidR="00EE4AE4" w:rsidRPr="005A62BD">
        <w:rPr>
          <w:b w:val="0"/>
        </w:rPr>
        <w:t xml:space="preserve"> shows the </w:t>
      </w:r>
      <w:r w:rsidRPr="005A62BD">
        <w:rPr>
          <w:b w:val="0"/>
        </w:rPr>
        <w:t xml:space="preserve">national LFS data provided </w:t>
      </w:r>
      <w:r w:rsidR="00EE4AE4" w:rsidRPr="005A62BD">
        <w:rPr>
          <w:b w:val="0"/>
        </w:rPr>
        <w:t>by</w:t>
      </w:r>
      <w:r w:rsidRPr="005A62BD">
        <w:rPr>
          <w:b w:val="0"/>
        </w:rPr>
        <w:t xml:space="preserve"> the Statistical Office of the SR on a special request</w:t>
      </w:r>
      <w:r w:rsidR="00EE4AE4" w:rsidRPr="005A62BD">
        <w:rPr>
          <w:b w:val="0"/>
        </w:rPr>
        <w:t xml:space="preserve"> in October 2016. The year averages </w:t>
      </w:r>
      <w:r w:rsidRPr="005A62BD">
        <w:rPr>
          <w:b w:val="0"/>
        </w:rPr>
        <w:t xml:space="preserve">show the proportion of young </w:t>
      </w:r>
      <w:proofErr w:type="spellStart"/>
      <w:r w:rsidRPr="005A62BD">
        <w:rPr>
          <w:b w:val="0"/>
        </w:rPr>
        <w:t>PwD</w:t>
      </w:r>
      <w:proofErr w:type="spellEnd"/>
      <w:r w:rsidRPr="005A62BD">
        <w:rPr>
          <w:b w:val="0"/>
        </w:rPr>
        <w:t xml:space="preserve"> at the age of 15-29 </w:t>
      </w:r>
      <w:r w:rsidR="008C17EE" w:rsidRPr="005A62BD">
        <w:rPr>
          <w:b w:val="0"/>
        </w:rPr>
        <w:t>disaggregated</w:t>
      </w:r>
      <w:r w:rsidRPr="005A62BD">
        <w:rPr>
          <w:b w:val="0"/>
        </w:rPr>
        <w:t xml:space="preserve"> by the education level and the economic </w:t>
      </w:r>
      <w:r w:rsidR="00E37C86" w:rsidRPr="005A62BD">
        <w:rPr>
          <w:b w:val="0"/>
        </w:rPr>
        <w:t>status</w:t>
      </w:r>
      <w:r w:rsidRPr="005A62BD">
        <w:rPr>
          <w:b w:val="0"/>
        </w:rPr>
        <w:t xml:space="preserve">. </w:t>
      </w:r>
    </w:p>
    <w:p w14:paraId="4FEE12FA" w14:textId="338CA720" w:rsidR="00BA25CA" w:rsidRPr="003160F2" w:rsidRDefault="00BA25CA" w:rsidP="00D73FC4">
      <w:pPr>
        <w:pStyle w:val="Un-numberedsubheading"/>
        <w:spacing w:after="0"/>
        <w:jc w:val="both"/>
        <w:rPr>
          <w:sz w:val="20"/>
          <w:szCs w:val="20"/>
        </w:rPr>
      </w:pPr>
      <w:r w:rsidRPr="003160F2">
        <w:rPr>
          <w:sz w:val="20"/>
          <w:szCs w:val="20"/>
        </w:rPr>
        <w:lastRenderedPageBreak/>
        <w:t>Economically active</w:t>
      </w:r>
      <w:r w:rsidR="00DB553B" w:rsidRPr="003160F2">
        <w:rPr>
          <w:sz w:val="20"/>
          <w:szCs w:val="20"/>
        </w:rPr>
        <w:t xml:space="preserve"> 15-29-year olds with disabilities by the education attainment level (%)</w:t>
      </w:r>
    </w:p>
    <w:tbl>
      <w:tblPr>
        <w:tblStyle w:val="TableGrid"/>
        <w:tblW w:w="5000" w:type="pct"/>
        <w:tblLook w:val="0000" w:firstRow="0" w:lastRow="0" w:firstColumn="0" w:lastColumn="0" w:noHBand="0" w:noVBand="0"/>
      </w:tblPr>
      <w:tblGrid>
        <w:gridCol w:w="4824"/>
        <w:gridCol w:w="1114"/>
        <w:gridCol w:w="1116"/>
        <w:gridCol w:w="1116"/>
        <w:gridCol w:w="1116"/>
      </w:tblGrid>
      <w:tr w:rsidR="00EE4AE4" w:rsidRPr="003160F2" w14:paraId="7973F00C" w14:textId="77777777" w:rsidTr="003160F2">
        <w:trPr>
          <w:trHeight w:val="590"/>
        </w:trPr>
        <w:tc>
          <w:tcPr>
            <w:tcW w:w="2597" w:type="pct"/>
            <w:vAlign w:val="center"/>
          </w:tcPr>
          <w:p w14:paraId="4887240A" w14:textId="2D52A985" w:rsidR="00EE4AE4" w:rsidRPr="003160F2" w:rsidRDefault="00DF0694" w:rsidP="00AB2EF5">
            <w:pPr>
              <w:spacing w:after="0"/>
              <w:ind w:right="-56"/>
              <w:rPr>
                <w:sz w:val="20"/>
                <w:szCs w:val="20"/>
              </w:rPr>
            </w:pPr>
            <w:r w:rsidRPr="003160F2">
              <w:rPr>
                <w:sz w:val="20"/>
                <w:szCs w:val="20"/>
              </w:rPr>
              <w:t>Education</w:t>
            </w:r>
          </w:p>
        </w:tc>
        <w:tc>
          <w:tcPr>
            <w:tcW w:w="600" w:type="pct"/>
            <w:vAlign w:val="center"/>
          </w:tcPr>
          <w:p w14:paraId="037E72DF" w14:textId="55EC09BF" w:rsidR="00EE4AE4" w:rsidRPr="003160F2" w:rsidRDefault="00DF0694" w:rsidP="00AB2EF5">
            <w:pPr>
              <w:spacing w:after="0"/>
              <w:rPr>
                <w:sz w:val="20"/>
                <w:szCs w:val="20"/>
              </w:rPr>
            </w:pPr>
            <w:r w:rsidRPr="003160F2">
              <w:rPr>
                <w:sz w:val="20"/>
                <w:szCs w:val="20"/>
              </w:rPr>
              <w:t xml:space="preserve">LFS </w:t>
            </w:r>
            <w:r w:rsidR="00EE4AE4" w:rsidRPr="003160F2">
              <w:rPr>
                <w:sz w:val="20"/>
                <w:szCs w:val="20"/>
              </w:rPr>
              <w:t>2012</w:t>
            </w:r>
          </w:p>
        </w:tc>
        <w:tc>
          <w:tcPr>
            <w:tcW w:w="601" w:type="pct"/>
            <w:vAlign w:val="center"/>
          </w:tcPr>
          <w:p w14:paraId="25098352" w14:textId="7BDD52D8" w:rsidR="00EE4AE4" w:rsidRPr="003160F2" w:rsidRDefault="00DF0694" w:rsidP="00AB2EF5">
            <w:pPr>
              <w:spacing w:after="0"/>
              <w:rPr>
                <w:sz w:val="20"/>
                <w:szCs w:val="20"/>
              </w:rPr>
            </w:pPr>
            <w:r w:rsidRPr="003160F2">
              <w:rPr>
                <w:sz w:val="20"/>
                <w:szCs w:val="20"/>
              </w:rPr>
              <w:t xml:space="preserve">LFS </w:t>
            </w:r>
            <w:r w:rsidR="00EE4AE4" w:rsidRPr="003160F2">
              <w:rPr>
                <w:sz w:val="20"/>
                <w:szCs w:val="20"/>
              </w:rPr>
              <w:t>2013</w:t>
            </w:r>
          </w:p>
        </w:tc>
        <w:tc>
          <w:tcPr>
            <w:tcW w:w="601" w:type="pct"/>
            <w:vAlign w:val="center"/>
          </w:tcPr>
          <w:p w14:paraId="78FF9E01" w14:textId="42C24B3B" w:rsidR="00EE4AE4" w:rsidRPr="003160F2" w:rsidRDefault="00DF0694" w:rsidP="00AB2EF5">
            <w:pPr>
              <w:spacing w:after="0"/>
              <w:rPr>
                <w:sz w:val="20"/>
                <w:szCs w:val="20"/>
              </w:rPr>
            </w:pPr>
            <w:r w:rsidRPr="003160F2">
              <w:rPr>
                <w:sz w:val="20"/>
                <w:szCs w:val="20"/>
              </w:rPr>
              <w:t xml:space="preserve">LFS </w:t>
            </w:r>
            <w:r w:rsidR="00EE4AE4" w:rsidRPr="003160F2">
              <w:rPr>
                <w:sz w:val="20"/>
                <w:szCs w:val="20"/>
              </w:rPr>
              <w:t>2014</w:t>
            </w:r>
          </w:p>
        </w:tc>
        <w:tc>
          <w:tcPr>
            <w:tcW w:w="601" w:type="pct"/>
            <w:vAlign w:val="center"/>
          </w:tcPr>
          <w:p w14:paraId="015D7591" w14:textId="2D327F2D" w:rsidR="00EE4AE4" w:rsidRPr="003160F2" w:rsidRDefault="00DF0694" w:rsidP="00AB2EF5">
            <w:pPr>
              <w:spacing w:after="0"/>
              <w:rPr>
                <w:sz w:val="20"/>
                <w:szCs w:val="20"/>
              </w:rPr>
            </w:pPr>
            <w:r w:rsidRPr="003160F2">
              <w:rPr>
                <w:sz w:val="20"/>
                <w:szCs w:val="20"/>
              </w:rPr>
              <w:t>LF</w:t>
            </w:r>
            <w:r w:rsidR="00EE4AE4" w:rsidRPr="003160F2">
              <w:rPr>
                <w:sz w:val="20"/>
                <w:szCs w:val="20"/>
              </w:rPr>
              <w:t>S 2015</w:t>
            </w:r>
          </w:p>
        </w:tc>
      </w:tr>
      <w:tr w:rsidR="00EE4AE4" w:rsidRPr="003160F2" w14:paraId="57AD917E" w14:textId="77777777" w:rsidTr="003160F2">
        <w:trPr>
          <w:trHeight w:val="291"/>
        </w:trPr>
        <w:tc>
          <w:tcPr>
            <w:tcW w:w="2597" w:type="pct"/>
            <w:vAlign w:val="center"/>
          </w:tcPr>
          <w:p w14:paraId="02A106A6" w14:textId="570E144F" w:rsidR="00EE4AE4" w:rsidRPr="003160F2" w:rsidRDefault="00DB553B" w:rsidP="00AB2EF5">
            <w:pPr>
              <w:spacing w:after="0"/>
              <w:rPr>
                <w:sz w:val="20"/>
                <w:szCs w:val="20"/>
                <w:lang w:eastAsia="sk-SK"/>
              </w:rPr>
            </w:pPr>
            <w:r w:rsidRPr="003160F2">
              <w:rPr>
                <w:sz w:val="20"/>
                <w:szCs w:val="20"/>
                <w:lang w:eastAsia="sk-SK"/>
              </w:rPr>
              <w:t>Lower secondary and less (ISCED 0-2)</w:t>
            </w:r>
          </w:p>
        </w:tc>
        <w:tc>
          <w:tcPr>
            <w:tcW w:w="600" w:type="pct"/>
            <w:vAlign w:val="center"/>
          </w:tcPr>
          <w:p w14:paraId="7688B437" w14:textId="1A99A5D8" w:rsidR="00EE4AE4" w:rsidRPr="003160F2" w:rsidRDefault="00EE4AE4" w:rsidP="003160F2">
            <w:pPr>
              <w:spacing w:after="0"/>
              <w:jc w:val="right"/>
              <w:rPr>
                <w:sz w:val="20"/>
                <w:szCs w:val="20"/>
              </w:rPr>
            </w:pPr>
            <w:r w:rsidRPr="003160F2">
              <w:rPr>
                <w:sz w:val="20"/>
                <w:szCs w:val="20"/>
              </w:rPr>
              <w:t>0</w:t>
            </w:r>
            <w:r w:rsidR="003160F2" w:rsidRPr="003160F2">
              <w:rPr>
                <w:sz w:val="20"/>
                <w:szCs w:val="20"/>
              </w:rPr>
              <w:t>.</w:t>
            </w:r>
            <w:r w:rsidRPr="003160F2">
              <w:rPr>
                <w:sz w:val="20"/>
                <w:szCs w:val="20"/>
              </w:rPr>
              <w:t>5</w:t>
            </w:r>
          </w:p>
        </w:tc>
        <w:tc>
          <w:tcPr>
            <w:tcW w:w="601" w:type="pct"/>
            <w:vAlign w:val="center"/>
          </w:tcPr>
          <w:p w14:paraId="75769EBC" w14:textId="137C00C6" w:rsidR="00EE4AE4" w:rsidRPr="003160F2" w:rsidRDefault="00EE4AE4" w:rsidP="003160F2">
            <w:pPr>
              <w:spacing w:after="0"/>
              <w:jc w:val="right"/>
              <w:rPr>
                <w:sz w:val="20"/>
                <w:szCs w:val="20"/>
              </w:rPr>
            </w:pPr>
            <w:r w:rsidRPr="003160F2">
              <w:rPr>
                <w:sz w:val="20"/>
                <w:szCs w:val="20"/>
              </w:rPr>
              <w:t>1</w:t>
            </w:r>
            <w:r w:rsidR="003160F2" w:rsidRPr="003160F2">
              <w:rPr>
                <w:sz w:val="20"/>
                <w:szCs w:val="20"/>
              </w:rPr>
              <w:t>.</w:t>
            </w:r>
            <w:r w:rsidRPr="003160F2">
              <w:rPr>
                <w:sz w:val="20"/>
                <w:szCs w:val="20"/>
              </w:rPr>
              <w:t>1</w:t>
            </w:r>
          </w:p>
        </w:tc>
        <w:tc>
          <w:tcPr>
            <w:tcW w:w="601" w:type="pct"/>
            <w:vAlign w:val="center"/>
          </w:tcPr>
          <w:p w14:paraId="62B493B2" w14:textId="17367357" w:rsidR="00EE4AE4" w:rsidRPr="003160F2" w:rsidRDefault="00EE4AE4" w:rsidP="003160F2">
            <w:pPr>
              <w:spacing w:after="0"/>
              <w:jc w:val="right"/>
              <w:rPr>
                <w:sz w:val="20"/>
                <w:szCs w:val="20"/>
              </w:rPr>
            </w:pPr>
            <w:r w:rsidRPr="003160F2">
              <w:rPr>
                <w:sz w:val="20"/>
                <w:szCs w:val="20"/>
              </w:rPr>
              <w:t>0</w:t>
            </w:r>
            <w:r w:rsidR="003160F2" w:rsidRPr="003160F2">
              <w:rPr>
                <w:sz w:val="20"/>
                <w:szCs w:val="20"/>
              </w:rPr>
              <w:t>.</w:t>
            </w:r>
            <w:r w:rsidRPr="003160F2">
              <w:rPr>
                <w:sz w:val="20"/>
                <w:szCs w:val="20"/>
              </w:rPr>
              <w:t>5</w:t>
            </w:r>
          </w:p>
        </w:tc>
        <w:tc>
          <w:tcPr>
            <w:tcW w:w="601" w:type="pct"/>
            <w:vAlign w:val="center"/>
          </w:tcPr>
          <w:p w14:paraId="4493082D" w14:textId="1EF3880E" w:rsidR="00EE4AE4" w:rsidRPr="003160F2" w:rsidRDefault="00EE4AE4" w:rsidP="003160F2">
            <w:pPr>
              <w:spacing w:after="0"/>
              <w:jc w:val="right"/>
              <w:rPr>
                <w:sz w:val="20"/>
                <w:szCs w:val="20"/>
              </w:rPr>
            </w:pPr>
            <w:r w:rsidRPr="003160F2">
              <w:rPr>
                <w:sz w:val="20"/>
                <w:szCs w:val="20"/>
              </w:rPr>
              <w:t>0</w:t>
            </w:r>
            <w:r w:rsidR="003160F2" w:rsidRPr="003160F2">
              <w:rPr>
                <w:sz w:val="20"/>
                <w:szCs w:val="20"/>
              </w:rPr>
              <w:t>.</w:t>
            </w:r>
            <w:r w:rsidRPr="003160F2">
              <w:rPr>
                <w:sz w:val="20"/>
                <w:szCs w:val="20"/>
              </w:rPr>
              <w:t>9</w:t>
            </w:r>
          </w:p>
        </w:tc>
      </w:tr>
      <w:tr w:rsidR="00DB553B" w:rsidRPr="003160F2" w14:paraId="31B85F9A" w14:textId="77777777" w:rsidTr="003160F2">
        <w:trPr>
          <w:trHeight w:val="291"/>
        </w:trPr>
        <w:tc>
          <w:tcPr>
            <w:tcW w:w="2597" w:type="pct"/>
            <w:vAlign w:val="center"/>
          </w:tcPr>
          <w:p w14:paraId="7ED55D28" w14:textId="241A5D82" w:rsidR="00DB553B" w:rsidRPr="003160F2" w:rsidRDefault="00DB553B" w:rsidP="00AB2EF5">
            <w:pPr>
              <w:spacing w:after="0"/>
              <w:rPr>
                <w:sz w:val="20"/>
                <w:szCs w:val="20"/>
                <w:lang w:eastAsia="sk-SK"/>
              </w:rPr>
            </w:pPr>
            <w:r w:rsidRPr="003160F2">
              <w:rPr>
                <w:sz w:val="20"/>
                <w:szCs w:val="20"/>
                <w:lang w:eastAsia="sk-SK"/>
              </w:rPr>
              <w:t>Upper secondary (ISCED 3-4)</w:t>
            </w:r>
          </w:p>
        </w:tc>
        <w:tc>
          <w:tcPr>
            <w:tcW w:w="600" w:type="pct"/>
            <w:vAlign w:val="center"/>
          </w:tcPr>
          <w:p w14:paraId="5A63C82F" w14:textId="7FB74471" w:rsidR="00DB553B" w:rsidRPr="003160F2" w:rsidRDefault="00DB553B" w:rsidP="003160F2">
            <w:pPr>
              <w:spacing w:after="0"/>
              <w:jc w:val="right"/>
              <w:rPr>
                <w:sz w:val="20"/>
                <w:szCs w:val="20"/>
              </w:rPr>
            </w:pPr>
            <w:r w:rsidRPr="003160F2">
              <w:rPr>
                <w:sz w:val="20"/>
                <w:szCs w:val="20"/>
              </w:rPr>
              <w:t>10</w:t>
            </w:r>
            <w:r w:rsidR="003160F2" w:rsidRPr="003160F2">
              <w:rPr>
                <w:sz w:val="20"/>
                <w:szCs w:val="20"/>
              </w:rPr>
              <w:t>.</w:t>
            </w:r>
            <w:r w:rsidRPr="003160F2">
              <w:rPr>
                <w:sz w:val="20"/>
                <w:szCs w:val="20"/>
              </w:rPr>
              <w:t>6</w:t>
            </w:r>
          </w:p>
        </w:tc>
        <w:tc>
          <w:tcPr>
            <w:tcW w:w="601" w:type="pct"/>
            <w:vAlign w:val="center"/>
          </w:tcPr>
          <w:p w14:paraId="41038845" w14:textId="34C9AE91" w:rsidR="00DB553B" w:rsidRPr="003160F2" w:rsidRDefault="00DB553B" w:rsidP="003160F2">
            <w:pPr>
              <w:spacing w:after="0"/>
              <w:jc w:val="right"/>
              <w:rPr>
                <w:sz w:val="20"/>
                <w:szCs w:val="20"/>
              </w:rPr>
            </w:pPr>
            <w:r w:rsidRPr="003160F2">
              <w:rPr>
                <w:sz w:val="20"/>
                <w:szCs w:val="20"/>
              </w:rPr>
              <w:t>10</w:t>
            </w:r>
            <w:r w:rsidR="003160F2" w:rsidRPr="003160F2">
              <w:rPr>
                <w:sz w:val="20"/>
                <w:szCs w:val="20"/>
              </w:rPr>
              <w:t>.</w:t>
            </w:r>
            <w:r w:rsidRPr="003160F2">
              <w:rPr>
                <w:sz w:val="20"/>
                <w:szCs w:val="20"/>
              </w:rPr>
              <w:t>6</w:t>
            </w:r>
          </w:p>
        </w:tc>
        <w:tc>
          <w:tcPr>
            <w:tcW w:w="601" w:type="pct"/>
            <w:vAlign w:val="center"/>
          </w:tcPr>
          <w:p w14:paraId="3F8F86B3" w14:textId="383AD2E8" w:rsidR="00DB553B" w:rsidRPr="003160F2" w:rsidRDefault="00DB553B" w:rsidP="003160F2">
            <w:pPr>
              <w:spacing w:after="0"/>
              <w:jc w:val="right"/>
              <w:rPr>
                <w:sz w:val="20"/>
                <w:szCs w:val="20"/>
              </w:rPr>
            </w:pPr>
            <w:r w:rsidRPr="003160F2">
              <w:rPr>
                <w:sz w:val="20"/>
                <w:szCs w:val="20"/>
              </w:rPr>
              <w:t>10</w:t>
            </w:r>
            <w:r w:rsidR="003160F2" w:rsidRPr="003160F2">
              <w:rPr>
                <w:sz w:val="20"/>
                <w:szCs w:val="20"/>
              </w:rPr>
              <w:t>.</w:t>
            </w:r>
            <w:r w:rsidRPr="003160F2">
              <w:rPr>
                <w:sz w:val="20"/>
                <w:szCs w:val="20"/>
              </w:rPr>
              <w:t>3</w:t>
            </w:r>
          </w:p>
        </w:tc>
        <w:tc>
          <w:tcPr>
            <w:tcW w:w="601" w:type="pct"/>
            <w:vAlign w:val="center"/>
          </w:tcPr>
          <w:p w14:paraId="002F4D62" w14:textId="43B9ED24" w:rsidR="00DB553B" w:rsidRPr="003160F2" w:rsidRDefault="00DB553B" w:rsidP="003160F2">
            <w:pPr>
              <w:spacing w:after="0"/>
              <w:jc w:val="right"/>
              <w:rPr>
                <w:sz w:val="20"/>
                <w:szCs w:val="20"/>
              </w:rPr>
            </w:pPr>
            <w:r w:rsidRPr="003160F2">
              <w:rPr>
                <w:sz w:val="20"/>
                <w:szCs w:val="20"/>
              </w:rPr>
              <w:t>8</w:t>
            </w:r>
            <w:r w:rsidR="003160F2" w:rsidRPr="003160F2">
              <w:rPr>
                <w:sz w:val="20"/>
                <w:szCs w:val="20"/>
              </w:rPr>
              <w:t>.</w:t>
            </w:r>
            <w:r w:rsidRPr="003160F2">
              <w:rPr>
                <w:sz w:val="20"/>
                <w:szCs w:val="20"/>
              </w:rPr>
              <w:t>1</w:t>
            </w:r>
          </w:p>
        </w:tc>
      </w:tr>
      <w:tr w:rsidR="00EE4AE4" w:rsidRPr="003160F2" w14:paraId="39713A0C" w14:textId="77777777" w:rsidTr="003160F2">
        <w:trPr>
          <w:trHeight w:val="291"/>
        </w:trPr>
        <w:tc>
          <w:tcPr>
            <w:tcW w:w="2597" w:type="pct"/>
            <w:vAlign w:val="center"/>
          </w:tcPr>
          <w:p w14:paraId="51A8ECBE" w14:textId="61DB3D20" w:rsidR="00EE4AE4" w:rsidRPr="003160F2" w:rsidRDefault="00DB553B" w:rsidP="00AB2EF5">
            <w:pPr>
              <w:spacing w:after="0"/>
              <w:rPr>
                <w:sz w:val="20"/>
                <w:szCs w:val="20"/>
                <w:lang w:eastAsia="sk-SK"/>
              </w:rPr>
            </w:pPr>
            <w:r w:rsidRPr="003160F2">
              <w:rPr>
                <w:sz w:val="20"/>
                <w:szCs w:val="20"/>
                <w:lang w:eastAsia="sk-SK"/>
              </w:rPr>
              <w:t>Tertiary (ISCED 5-6)</w:t>
            </w:r>
          </w:p>
        </w:tc>
        <w:tc>
          <w:tcPr>
            <w:tcW w:w="600" w:type="pct"/>
            <w:vAlign w:val="center"/>
          </w:tcPr>
          <w:p w14:paraId="588F0B31" w14:textId="4ECB5645" w:rsidR="00EE4AE4" w:rsidRPr="003160F2" w:rsidRDefault="00EE4AE4" w:rsidP="003160F2">
            <w:pPr>
              <w:spacing w:after="0"/>
              <w:jc w:val="right"/>
              <w:rPr>
                <w:sz w:val="20"/>
                <w:szCs w:val="20"/>
              </w:rPr>
            </w:pPr>
            <w:r w:rsidRPr="003160F2">
              <w:rPr>
                <w:sz w:val="20"/>
                <w:szCs w:val="20"/>
              </w:rPr>
              <w:t>2</w:t>
            </w:r>
            <w:r w:rsidR="003160F2" w:rsidRPr="003160F2">
              <w:rPr>
                <w:sz w:val="20"/>
                <w:szCs w:val="20"/>
              </w:rPr>
              <w:t>.</w:t>
            </w:r>
            <w:r w:rsidRPr="003160F2">
              <w:rPr>
                <w:sz w:val="20"/>
                <w:szCs w:val="20"/>
              </w:rPr>
              <w:t>2</w:t>
            </w:r>
          </w:p>
        </w:tc>
        <w:tc>
          <w:tcPr>
            <w:tcW w:w="601" w:type="pct"/>
            <w:vAlign w:val="center"/>
          </w:tcPr>
          <w:p w14:paraId="02AD2C4C" w14:textId="69B966E3" w:rsidR="00EE4AE4" w:rsidRPr="003160F2" w:rsidRDefault="00EE4AE4" w:rsidP="003160F2">
            <w:pPr>
              <w:spacing w:after="0"/>
              <w:jc w:val="right"/>
              <w:rPr>
                <w:sz w:val="20"/>
                <w:szCs w:val="20"/>
              </w:rPr>
            </w:pPr>
            <w:r w:rsidRPr="003160F2">
              <w:rPr>
                <w:sz w:val="20"/>
                <w:szCs w:val="20"/>
              </w:rPr>
              <w:t>0</w:t>
            </w:r>
            <w:r w:rsidR="003160F2" w:rsidRPr="003160F2">
              <w:rPr>
                <w:sz w:val="20"/>
                <w:szCs w:val="20"/>
              </w:rPr>
              <w:t>.</w:t>
            </w:r>
            <w:r w:rsidRPr="003160F2">
              <w:rPr>
                <w:sz w:val="20"/>
                <w:szCs w:val="20"/>
              </w:rPr>
              <w:t>9</w:t>
            </w:r>
          </w:p>
        </w:tc>
        <w:tc>
          <w:tcPr>
            <w:tcW w:w="601" w:type="pct"/>
            <w:vAlign w:val="center"/>
          </w:tcPr>
          <w:p w14:paraId="48891CC0" w14:textId="08ACF9CB" w:rsidR="00EE4AE4" w:rsidRPr="003160F2" w:rsidRDefault="00EE4AE4" w:rsidP="003160F2">
            <w:pPr>
              <w:spacing w:after="0"/>
              <w:jc w:val="right"/>
              <w:rPr>
                <w:sz w:val="20"/>
                <w:szCs w:val="20"/>
              </w:rPr>
            </w:pPr>
            <w:r w:rsidRPr="003160F2">
              <w:rPr>
                <w:sz w:val="20"/>
                <w:szCs w:val="20"/>
              </w:rPr>
              <w:t>2</w:t>
            </w:r>
            <w:r w:rsidR="003160F2" w:rsidRPr="003160F2">
              <w:rPr>
                <w:sz w:val="20"/>
                <w:szCs w:val="20"/>
              </w:rPr>
              <w:t>.</w:t>
            </w:r>
            <w:r w:rsidRPr="003160F2">
              <w:rPr>
                <w:sz w:val="20"/>
                <w:szCs w:val="20"/>
              </w:rPr>
              <w:t>2</w:t>
            </w:r>
          </w:p>
        </w:tc>
        <w:tc>
          <w:tcPr>
            <w:tcW w:w="601" w:type="pct"/>
            <w:vAlign w:val="center"/>
          </w:tcPr>
          <w:p w14:paraId="4F20D3FC" w14:textId="6EF7A6BA" w:rsidR="00EE4AE4" w:rsidRPr="003160F2" w:rsidRDefault="00EE4AE4" w:rsidP="003160F2">
            <w:pPr>
              <w:spacing w:after="0"/>
              <w:jc w:val="right"/>
              <w:rPr>
                <w:sz w:val="20"/>
                <w:szCs w:val="20"/>
              </w:rPr>
            </w:pPr>
            <w:r w:rsidRPr="003160F2">
              <w:rPr>
                <w:sz w:val="20"/>
                <w:szCs w:val="20"/>
              </w:rPr>
              <w:t>3</w:t>
            </w:r>
            <w:r w:rsidR="003160F2" w:rsidRPr="003160F2">
              <w:rPr>
                <w:sz w:val="20"/>
                <w:szCs w:val="20"/>
              </w:rPr>
              <w:t>.</w:t>
            </w:r>
            <w:r w:rsidRPr="003160F2">
              <w:rPr>
                <w:sz w:val="20"/>
                <w:szCs w:val="20"/>
              </w:rPr>
              <w:t>8</w:t>
            </w:r>
          </w:p>
        </w:tc>
      </w:tr>
      <w:tr w:rsidR="00DB553B" w:rsidRPr="003160F2" w14:paraId="35AAA67C" w14:textId="77777777" w:rsidTr="003160F2">
        <w:trPr>
          <w:trHeight w:val="291"/>
        </w:trPr>
        <w:tc>
          <w:tcPr>
            <w:tcW w:w="2597" w:type="pct"/>
            <w:vAlign w:val="center"/>
          </w:tcPr>
          <w:p w14:paraId="3B1A4E5A" w14:textId="494E75E6" w:rsidR="00DB553B" w:rsidRPr="003160F2" w:rsidRDefault="00DB553B" w:rsidP="00AB2EF5">
            <w:pPr>
              <w:spacing w:after="0"/>
              <w:rPr>
                <w:sz w:val="20"/>
                <w:szCs w:val="20"/>
                <w:lang w:eastAsia="sk-SK"/>
              </w:rPr>
            </w:pPr>
            <w:r w:rsidRPr="003160F2">
              <w:rPr>
                <w:b/>
                <w:sz w:val="20"/>
                <w:szCs w:val="20"/>
                <w:lang w:eastAsia="sk-SK"/>
              </w:rPr>
              <w:t>Total</w:t>
            </w:r>
            <w:r w:rsidRPr="003160F2">
              <w:rPr>
                <w:rStyle w:val="FootnoteReference"/>
                <w:sz w:val="20"/>
                <w:szCs w:val="20"/>
                <w:lang w:eastAsia="sk-SK"/>
              </w:rPr>
              <w:footnoteReference w:id="11"/>
            </w:r>
          </w:p>
        </w:tc>
        <w:tc>
          <w:tcPr>
            <w:tcW w:w="600" w:type="pct"/>
            <w:vAlign w:val="center"/>
          </w:tcPr>
          <w:p w14:paraId="7B3C9DEC" w14:textId="2DC42070" w:rsidR="00DB553B" w:rsidRPr="003160F2" w:rsidRDefault="00DB553B" w:rsidP="003160F2">
            <w:pPr>
              <w:spacing w:after="0"/>
              <w:jc w:val="right"/>
              <w:rPr>
                <w:sz w:val="20"/>
                <w:szCs w:val="20"/>
              </w:rPr>
            </w:pPr>
            <w:r w:rsidRPr="003160F2">
              <w:rPr>
                <w:b/>
                <w:sz w:val="20"/>
                <w:szCs w:val="20"/>
              </w:rPr>
              <w:t>13</w:t>
            </w:r>
            <w:r w:rsidR="003160F2" w:rsidRPr="003160F2">
              <w:rPr>
                <w:b/>
                <w:sz w:val="20"/>
                <w:szCs w:val="20"/>
              </w:rPr>
              <w:t>.</w:t>
            </w:r>
            <w:r w:rsidRPr="003160F2">
              <w:rPr>
                <w:b/>
                <w:sz w:val="20"/>
                <w:szCs w:val="20"/>
              </w:rPr>
              <w:t>4</w:t>
            </w:r>
          </w:p>
        </w:tc>
        <w:tc>
          <w:tcPr>
            <w:tcW w:w="601" w:type="pct"/>
            <w:vAlign w:val="center"/>
          </w:tcPr>
          <w:p w14:paraId="5F834EA9" w14:textId="581D2DB2" w:rsidR="00DB553B" w:rsidRPr="003160F2" w:rsidRDefault="00DB553B" w:rsidP="003160F2">
            <w:pPr>
              <w:spacing w:after="0"/>
              <w:jc w:val="right"/>
              <w:rPr>
                <w:sz w:val="20"/>
                <w:szCs w:val="20"/>
              </w:rPr>
            </w:pPr>
            <w:r w:rsidRPr="003160F2">
              <w:rPr>
                <w:b/>
                <w:sz w:val="20"/>
                <w:szCs w:val="20"/>
              </w:rPr>
              <w:t>12</w:t>
            </w:r>
            <w:r w:rsidR="003160F2" w:rsidRPr="003160F2">
              <w:rPr>
                <w:b/>
                <w:sz w:val="20"/>
                <w:szCs w:val="20"/>
              </w:rPr>
              <w:t>.</w:t>
            </w:r>
            <w:r w:rsidRPr="003160F2">
              <w:rPr>
                <w:b/>
                <w:sz w:val="20"/>
                <w:szCs w:val="20"/>
              </w:rPr>
              <w:t>7</w:t>
            </w:r>
          </w:p>
        </w:tc>
        <w:tc>
          <w:tcPr>
            <w:tcW w:w="601" w:type="pct"/>
            <w:vAlign w:val="center"/>
          </w:tcPr>
          <w:p w14:paraId="4B6D80D6" w14:textId="726EEAAA" w:rsidR="00DB553B" w:rsidRPr="003160F2" w:rsidRDefault="00DB553B" w:rsidP="003160F2">
            <w:pPr>
              <w:spacing w:after="0"/>
              <w:jc w:val="right"/>
              <w:rPr>
                <w:sz w:val="20"/>
                <w:szCs w:val="20"/>
              </w:rPr>
            </w:pPr>
            <w:r w:rsidRPr="003160F2">
              <w:rPr>
                <w:b/>
                <w:sz w:val="20"/>
                <w:szCs w:val="20"/>
              </w:rPr>
              <w:t>13</w:t>
            </w:r>
            <w:r w:rsidR="003160F2" w:rsidRPr="003160F2">
              <w:rPr>
                <w:b/>
                <w:sz w:val="20"/>
                <w:szCs w:val="20"/>
              </w:rPr>
              <w:t>.</w:t>
            </w:r>
            <w:r w:rsidRPr="003160F2">
              <w:rPr>
                <w:b/>
                <w:sz w:val="20"/>
                <w:szCs w:val="20"/>
              </w:rPr>
              <w:t>1</w:t>
            </w:r>
          </w:p>
        </w:tc>
        <w:tc>
          <w:tcPr>
            <w:tcW w:w="601" w:type="pct"/>
            <w:vAlign w:val="center"/>
          </w:tcPr>
          <w:p w14:paraId="42F46A9B" w14:textId="242D7645" w:rsidR="00DB553B" w:rsidRPr="003160F2" w:rsidRDefault="00DB553B" w:rsidP="003160F2">
            <w:pPr>
              <w:spacing w:after="0"/>
              <w:jc w:val="right"/>
              <w:rPr>
                <w:sz w:val="20"/>
                <w:szCs w:val="20"/>
              </w:rPr>
            </w:pPr>
            <w:r w:rsidRPr="003160F2">
              <w:rPr>
                <w:b/>
                <w:sz w:val="20"/>
                <w:szCs w:val="20"/>
              </w:rPr>
              <w:t>12</w:t>
            </w:r>
            <w:r w:rsidR="003160F2" w:rsidRPr="003160F2">
              <w:rPr>
                <w:b/>
                <w:sz w:val="20"/>
                <w:szCs w:val="20"/>
              </w:rPr>
              <w:t>.</w:t>
            </w:r>
            <w:r w:rsidRPr="003160F2">
              <w:rPr>
                <w:b/>
                <w:sz w:val="20"/>
                <w:szCs w:val="20"/>
              </w:rPr>
              <w:t>9</w:t>
            </w:r>
          </w:p>
        </w:tc>
      </w:tr>
    </w:tbl>
    <w:p w14:paraId="3E0747BA" w14:textId="3033038B" w:rsidR="00DF0694" w:rsidRPr="003160F2" w:rsidRDefault="00DF0694" w:rsidP="00AB2EF5">
      <w:pPr>
        <w:spacing w:after="0"/>
        <w:rPr>
          <w:i/>
          <w:sz w:val="20"/>
          <w:szCs w:val="20"/>
        </w:rPr>
      </w:pPr>
      <w:r w:rsidRPr="003160F2">
        <w:rPr>
          <w:bCs/>
          <w:i/>
          <w:sz w:val="20"/>
          <w:szCs w:val="20"/>
        </w:rPr>
        <w:t>Source: LFS UDB 2012-2015 (Statistical Office of the Slovak Republic, October 2016)</w:t>
      </w:r>
    </w:p>
    <w:p w14:paraId="0BA0C11E" w14:textId="64990870" w:rsidR="00BA25CA" w:rsidRPr="003160F2" w:rsidRDefault="00BA25CA" w:rsidP="00AB2EF5">
      <w:pPr>
        <w:spacing w:after="0"/>
        <w:rPr>
          <w:sz w:val="20"/>
          <w:szCs w:val="20"/>
        </w:rPr>
      </w:pPr>
    </w:p>
    <w:p w14:paraId="250C683F" w14:textId="10393202" w:rsidR="00DF0694" w:rsidRPr="003160F2" w:rsidRDefault="00BA25CA" w:rsidP="00AB2EF5">
      <w:pPr>
        <w:pStyle w:val="Un-numberedsubheading"/>
        <w:spacing w:after="0"/>
        <w:rPr>
          <w:sz w:val="20"/>
          <w:szCs w:val="20"/>
        </w:rPr>
      </w:pPr>
      <w:r w:rsidRPr="003160F2">
        <w:rPr>
          <w:sz w:val="20"/>
          <w:szCs w:val="20"/>
        </w:rPr>
        <w:t>Employed</w:t>
      </w:r>
      <w:r w:rsidR="00DF0694" w:rsidRPr="003160F2">
        <w:rPr>
          <w:sz w:val="20"/>
          <w:szCs w:val="20"/>
        </w:rPr>
        <w:t xml:space="preserve"> 15-29-year olds with disabilities by the education attainment level (%)</w:t>
      </w:r>
    </w:p>
    <w:tbl>
      <w:tblPr>
        <w:tblStyle w:val="TableGrid"/>
        <w:tblW w:w="5000" w:type="pct"/>
        <w:tblLook w:val="0000" w:firstRow="0" w:lastRow="0" w:firstColumn="0" w:lastColumn="0" w:noHBand="0" w:noVBand="0"/>
      </w:tblPr>
      <w:tblGrid>
        <w:gridCol w:w="4254"/>
        <w:gridCol w:w="1257"/>
        <w:gridCol w:w="1259"/>
        <w:gridCol w:w="1259"/>
        <w:gridCol w:w="1257"/>
      </w:tblGrid>
      <w:tr w:rsidR="00DF0694" w:rsidRPr="003160F2" w14:paraId="25A9FCD0" w14:textId="77777777" w:rsidTr="003160F2">
        <w:trPr>
          <w:trHeight w:val="590"/>
        </w:trPr>
        <w:tc>
          <w:tcPr>
            <w:tcW w:w="2290" w:type="pct"/>
            <w:vAlign w:val="center"/>
          </w:tcPr>
          <w:p w14:paraId="5D7BBF10" w14:textId="5BDBE07A" w:rsidR="00DF0694" w:rsidRPr="003160F2" w:rsidRDefault="00DF0694" w:rsidP="00AB2EF5">
            <w:pPr>
              <w:spacing w:after="0"/>
              <w:ind w:right="-56"/>
              <w:rPr>
                <w:sz w:val="20"/>
                <w:szCs w:val="20"/>
              </w:rPr>
            </w:pPr>
            <w:r w:rsidRPr="003160F2">
              <w:rPr>
                <w:sz w:val="20"/>
                <w:szCs w:val="20"/>
              </w:rPr>
              <w:t>Education</w:t>
            </w:r>
          </w:p>
        </w:tc>
        <w:tc>
          <w:tcPr>
            <w:tcW w:w="677" w:type="pct"/>
            <w:vAlign w:val="center"/>
          </w:tcPr>
          <w:p w14:paraId="6F5DC1E5" w14:textId="1D3F8E86" w:rsidR="00DF0694" w:rsidRPr="003160F2" w:rsidRDefault="00DF0694" w:rsidP="00AB2EF5">
            <w:pPr>
              <w:spacing w:after="0"/>
              <w:rPr>
                <w:sz w:val="20"/>
                <w:szCs w:val="20"/>
              </w:rPr>
            </w:pPr>
            <w:r w:rsidRPr="003160F2">
              <w:rPr>
                <w:sz w:val="20"/>
                <w:szCs w:val="20"/>
              </w:rPr>
              <w:t>LFS 2012</w:t>
            </w:r>
          </w:p>
        </w:tc>
        <w:tc>
          <w:tcPr>
            <w:tcW w:w="678" w:type="pct"/>
            <w:vAlign w:val="center"/>
          </w:tcPr>
          <w:p w14:paraId="7AE47369" w14:textId="2A4B7B3B" w:rsidR="00DF0694" w:rsidRPr="003160F2" w:rsidRDefault="00DF0694" w:rsidP="00AB2EF5">
            <w:pPr>
              <w:spacing w:after="0"/>
              <w:rPr>
                <w:sz w:val="20"/>
                <w:szCs w:val="20"/>
              </w:rPr>
            </w:pPr>
            <w:r w:rsidRPr="003160F2">
              <w:rPr>
                <w:sz w:val="20"/>
                <w:szCs w:val="20"/>
              </w:rPr>
              <w:t>LFS 2013</w:t>
            </w:r>
          </w:p>
        </w:tc>
        <w:tc>
          <w:tcPr>
            <w:tcW w:w="678" w:type="pct"/>
            <w:vAlign w:val="center"/>
          </w:tcPr>
          <w:p w14:paraId="292C81DA" w14:textId="2CC34407" w:rsidR="00DF0694" w:rsidRPr="003160F2" w:rsidRDefault="00DF0694" w:rsidP="00AB2EF5">
            <w:pPr>
              <w:spacing w:after="0"/>
              <w:rPr>
                <w:sz w:val="20"/>
                <w:szCs w:val="20"/>
              </w:rPr>
            </w:pPr>
            <w:r w:rsidRPr="003160F2">
              <w:rPr>
                <w:sz w:val="20"/>
                <w:szCs w:val="20"/>
              </w:rPr>
              <w:t>LFS 2014</w:t>
            </w:r>
          </w:p>
        </w:tc>
        <w:tc>
          <w:tcPr>
            <w:tcW w:w="678" w:type="pct"/>
            <w:vAlign w:val="center"/>
          </w:tcPr>
          <w:p w14:paraId="2B7E41AB" w14:textId="5A157FDB" w:rsidR="00DF0694" w:rsidRPr="003160F2" w:rsidRDefault="00DF0694" w:rsidP="00AB2EF5">
            <w:pPr>
              <w:spacing w:after="0"/>
              <w:rPr>
                <w:sz w:val="20"/>
                <w:szCs w:val="20"/>
              </w:rPr>
            </w:pPr>
            <w:r w:rsidRPr="003160F2">
              <w:rPr>
                <w:sz w:val="20"/>
                <w:szCs w:val="20"/>
              </w:rPr>
              <w:t>LFS 2015</w:t>
            </w:r>
          </w:p>
        </w:tc>
      </w:tr>
      <w:tr w:rsidR="00153B8A" w:rsidRPr="003160F2" w14:paraId="67E6AA5E" w14:textId="77777777" w:rsidTr="003160F2">
        <w:trPr>
          <w:trHeight w:val="291"/>
        </w:trPr>
        <w:tc>
          <w:tcPr>
            <w:tcW w:w="2290" w:type="pct"/>
            <w:vAlign w:val="center"/>
          </w:tcPr>
          <w:p w14:paraId="7A9B3B6C" w14:textId="35DFC2ED" w:rsidR="00153B8A" w:rsidRPr="003160F2" w:rsidRDefault="00DF0694" w:rsidP="00AB2EF5">
            <w:pPr>
              <w:spacing w:after="0"/>
              <w:rPr>
                <w:sz w:val="20"/>
                <w:szCs w:val="20"/>
                <w:lang w:eastAsia="sk-SK"/>
              </w:rPr>
            </w:pPr>
            <w:r w:rsidRPr="003160F2">
              <w:rPr>
                <w:sz w:val="20"/>
                <w:szCs w:val="20"/>
                <w:lang w:eastAsia="sk-SK"/>
              </w:rPr>
              <w:t>Lower secondary and less (ISCED 0-2)</w:t>
            </w:r>
          </w:p>
        </w:tc>
        <w:tc>
          <w:tcPr>
            <w:tcW w:w="677" w:type="pct"/>
            <w:vAlign w:val="center"/>
          </w:tcPr>
          <w:p w14:paraId="304394B3" w14:textId="16343E33"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5</w:t>
            </w:r>
          </w:p>
        </w:tc>
        <w:tc>
          <w:tcPr>
            <w:tcW w:w="678" w:type="pct"/>
            <w:vAlign w:val="center"/>
          </w:tcPr>
          <w:p w14:paraId="2BAC5140" w14:textId="37FE2D0A" w:rsidR="00153B8A" w:rsidRPr="003160F2" w:rsidRDefault="00153B8A" w:rsidP="003160F2">
            <w:pPr>
              <w:spacing w:after="0"/>
              <w:jc w:val="right"/>
              <w:rPr>
                <w:sz w:val="20"/>
                <w:szCs w:val="20"/>
              </w:rPr>
            </w:pPr>
            <w:r w:rsidRPr="003160F2">
              <w:rPr>
                <w:sz w:val="20"/>
                <w:szCs w:val="20"/>
              </w:rPr>
              <w:t>1</w:t>
            </w:r>
            <w:r w:rsidR="003160F2">
              <w:rPr>
                <w:sz w:val="20"/>
                <w:szCs w:val="20"/>
              </w:rPr>
              <w:t>.</w:t>
            </w:r>
            <w:r w:rsidRPr="003160F2">
              <w:rPr>
                <w:sz w:val="20"/>
                <w:szCs w:val="20"/>
              </w:rPr>
              <w:t>4</w:t>
            </w:r>
          </w:p>
        </w:tc>
        <w:tc>
          <w:tcPr>
            <w:tcW w:w="678" w:type="pct"/>
            <w:vAlign w:val="center"/>
          </w:tcPr>
          <w:p w14:paraId="0CB5BCE6" w14:textId="3E2B0219"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4</w:t>
            </w:r>
          </w:p>
        </w:tc>
        <w:tc>
          <w:tcPr>
            <w:tcW w:w="678" w:type="pct"/>
            <w:vAlign w:val="center"/>
          </w:tcPr>
          <w:p w14:paraId="331C8352" w14:textId="76A3E6C8"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9</w:t>
            </w:r>
          </w:p>
        </w:tc>
      </w:tr>
      <w:tr w:rsidR="00DF0694" w:rsidRPr="003160F2" w14:paraId="78781947" w14:textId="77777777" w:rsidTr="003160F2">
        <w:trPr>
          <w:trHeight w:val="291"/>
        </w:trPr>
        <w:tc>
          <w:tcPr>
            <w:tcW w:w="2290" w:type="pct"/>
            <w:vAlign w:val="center"/>
          </w:tcPr>
          <w:p w14:paraId="28A2CD77" w14:textId="58B99701" w:rsidR="00DF0694" w:rsidRPr="003160F2" w:rsidRDefault="00DF0694" w:rsidP="00AB2EF5">
            <w:pPr>
              <w:spacing w:after="0"/>
              <w:rPr>
                <w:sz w:val="20"/>
                <w:szCs w:val="20"/>
                <w:lang w:eastAsia="sk-SK"/>
              </w:rPr>
            </w:pPr>
            <w:r w:rsidRPr="003160F2">
              <w:rPr>
                <w:sz w:val="20"/>
                <w:szCs w:val="20"/>
                <w:lang w:eastAsia="sk-SK"/>
              </w:rPr>
              <w:t>Upper secondary (ISCED 3-4)</w:t>
            </w:r>
          </w:p>
        </w:tc>
        <w:tc>
          <w:tcPr>
            <w:tcW w:w="677" w:type="pct"/>
            <w:vAlign w:val="center"/>
          </w:tcPr>
          <w:p w14:paraId="08B10BD3" w14:textId="1954577C" w:rsidR="00DF0694" w:rsidRPr="003160F2" w:rsidRDefault="00DF0694" w:rsidP="003160F2">
            <w:pPr>
              <w:spacing w:after="0"/>
              <w:jc w:val="right"/>
              <w:rPr>
                <w:sz w:val="20"/>
                <w:szCs w:val="20"/>
              </w:rPr>
            </w:pPr>
            <w:r w:rsidRPr="003160F2">
              <w:rPr>
                <w:sz w:val="20"/>
                <w:szCs w:val="20"/>
              </w:rPr>
              <w:t>8</w:t>
            </w:r>
            <w:r w:rsidR="003160F2">
              <w:rPr>
                <w:sz w:val="20"/>
                <w:szCs w:val="20"/>
              </w:rPr>
              <w:t>.</w:t>
            </w:r>
            <w:r w:rsidRPr="003160F2">
              <w:rPr>
                <w:sz w:val="20"/>
                <w:szCs w:val="20"/>
              </w:rPr>
              <w:t>5</w:t>
            </w:r>
          </w:p>
        </w:tc>
        <w:tc>
          <w:tcPr>
            <w:tcW w:w="678" w:type="pct"/>
            <w:vAlign w:val="center"/>
          </w:tcPr>
          <w:p w14:paraId="0B1F5CF8" w14:textId="2E0E15E9" w:rsidR="00DF0694" w:rsidRPr="003160F2" w:rsidRDefault="00DF0694" w:rsidP="003160F2">
            <w:pPr>
              <w:spacing w:after="0"/>
              <w:jc w:val="right"/>
              <w:rPr>
                <w:sz w:val="20"/>
                <w:szCs w:val="20"/>
              </w:rPr>
            </w:pPr>
            <w:r w:rsidRPr="003160F2">
              <w:rPr>
                <w:sz w:val="20"/>
                <w:szCs w:val="20"/>
              </w:rPr>
              <w:t>9</w:t>
            </w:r>
            <w:r w:rsidR="003160F2">
              <w:rPr>
                <w:sz w:val="20"/>
                <w:szCs w:val="20"/>
              </w:rPr>
              <w:t>.</w:t>
            </w:r>
            <w:r w:rsidRPr="003160F2">
              <w:rPr>
                <w:sz w:val="20"/>
                <w:szCs w:val="20"/>
              </w:rPr>
              <w:t>3</w:t>
            </w:r>
          </w:p>
        </w:tc>
        <w:tc>
          <w:tcPr>
            <w:tcW w:w="678" w:type="pct"/>
            <w:vAlign w:val="center"/>
          </w:tcPr>
          <w:p w14:paraId="4D3E5C3A" w14:textId="47ABEB10" w:rsidR="00DF0694" w:rsidRPr="003160F2" w:rsidRDefault="00DF0694" w:rsidP="003160F2">
            <w:pPr>
              <w:spacing w:after="0"/>
              <w:jc w:val="right"/>
              <w:rPr>
                <w:sz w:val="20"/>
                <w:szCs w:val="20"/>
              </w:rPr>
            </w:pPr>
            <w:r w:rsidRPr="003160F2">
              <w:rPr>
                <w:sz w:val="20"/>
                <w:szCs w:val="20"/>
              </w:rPr>
              <w:t>8</w:t>
            </w:r>
            <w:r w:rsidR="003160F2">
              <w:rPr>
                <w:sz w:val="20"/>
                <w:szCs w:val="20"/>
              </w:rPr>
              <w:t>.</w:t>
            </w:r>
            <w:r w:rsidRPr="003160F2">
              <w:rPr>
                <w:sz w:val="20"/>
                <w:szCs w:val="20"/>
              </w:rPr>
              <w:t>6</w:t>
            </w:r>
          </w:p>
        </w:tc>
        <w:tc>
          <w:tcPr>
            <w:tcW w:w="678" w:type="pct"/>
            <w:vAlign w:val="center"/>
          </w:tcPr>
          <w:p w14:paraId="6C64F782" w14:textId="386D9665" w:rsidR="00DF0694" w:rsidRPr="003160F2" w:rsidRDefault="00DF0694" w:rsidP="003160F2">
            <w:pPr>
              <w:spacing w:after="0"/>
              <w:jc w:val="right"/>
              <w:rPr>
                <w:sz w:val="20"/>
                <w:szCs w:val="20"/>
              </w:rPr>
            </w:pPr>
            <w:r w:rsidRPr="003160F2">
              <w:rPr>
                <w:sz w:val="20"/>
                <w:szCs w:val="20"/>
              </w:rPr>
              <w:t>7</w:t>
            </w:r>
            <w:r w:rsidR="003160F2">
              <w:rPr>
                <w:sz w:val="20"/>
                <w:szCs w:val="20"/>
              </w:rPr>
              <w:t>.</w:t>
            </w:r>
            <w:r w:rsidRPr="003160F2">
              <w:rPr>
                <w:sz w:val="20"/>
                <w:szCs w:val="20"/>
              </w:rPr>
              <w:t>0</w:t>
            </w:r>
          </w:p>
        </w:tc>
      </w:tr>
      <w:tr w:rsidR="00153B8A" w:rsidRPr="003160F2" w14:paraId="4EF3F410" w14:textId="77777777" w:rsidTr="003160F2">
        <w:trPr>
          <w:trHeight w:val="291"/>
        </w:trPr>
        <w:tc>
          <w:tcPr>
            <w:tcW w:w="2290" w:type="pct"/>
            <w:vAlign w:val="center"/>
          </w:tcPr>
          <w:p w14:paraId="0F5A9921" w14:textId="05D6E10F" w:rsidR="00153B8A" w:rsidRPr="003160F2" w:rsidRDefault="00DF0694" w:rsidP="00AB2EF5">
            <w:pPr>
              <w:spacing w:after="0"/>
              <w:rPr>
                <w:sz w:val="20"/>
                <w:szCs w:val="20"/>
                <w:lang w:eastAsia="sk-SK"/>
              </w:rPr>
            </w:pPr>
            <w:r w:rsidRPr="003160F2">
              <w:rPr>
                <w:sz w:val="20"/>
                <w:szCs w:val="20"/>
                <w:lang w:eastAsia="sk-SK"/>
              </w:rPr>
              <w:t>Tertiary (ISCED 5-6)</w:t>
            </w:r>
          </w:p>
        </w:tc>
        <w:tc>
          <w:tcPr>
            <w:tcW w:w="677" w:type="pct"/>
            <w:vAlign w:val="center"/>
          </w:tcPr>
          <w:p w14:paraId="21B14F39" w14:textId="3B4E8726" w:rsidR="00153B8A" w:rsidRPr="003160F2" w:rsidRDefault="00153B8A" w:rsidP="003160F2">
            <w:pPr>
              <w:spacing w:after="0"/>
              <w:jc w:val="right"/>
              <w:rPr>
                <w:sz w:val="20"/>
                <w:szCs w:val="20"/>
              </w:rPr>
            </w:pPr>
            <w:r w:rsidRPr="003160F2">
              <w:rPr>
                <w:sz w:val="20"/>
                <w:szCs w:val="20"/>
              </w:rPr>
              <w:t>2</w:t>
            </w:r>
            <w:r w:rsidR="003160F2">
              <w:rPr>
                <w:sz w:val="20"/>
                <w:szCs w:val="20"/>
              </w:rPr>
              <w:t>.</w:t>
            </w:r>
            <w:r w:rsidRPr="003160F2">
              <w:rPr>
                <w:sz w:val="20"/>
                <w:szCs w:val="20"/>
              </w:rPr>
              <w:t>8</w:t>
            </w:r>
          </w:p>
        </w:tc>
        <w:tc>
          <w:tcPr>
            <w:tcW w:w="678" w:type="pct"/>
            <w:vAlign w:val="center"/>
          </w:tcPr>
          <w:p w14:paraId="2A38F515" w14:textId="7327DD02"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7</w:t>
            </w:r>
          </w:p>
        </w:tc>
        <w:tc>
          <w:tcPr>
            <w:tcW w:w="678" w:type="pct"/>
            <w:vAlign w:val="center"/>
          </w:tcPr>
          <w:p w14:paraId="661EE305" w14:textId="2458167C" w:rsidR="00153B8A" w:rsidRPr="003160F2" w:rsidRDefault="00153B8A" w:rsidP="003160F2">
            <w:pPr>
              <w:spacing w:after="0"/>
              <w:jc w:val="right"/>
              <w:rPr>
                <w:sz w:val="20"/>
                <w:szCs w:val="20"/>
              </w:rPr>
            </w:pPr>
            <w:r w:rsidRPr="003160F2">
              <w:rPr>
                <w:sz w:val="20"/>
                <w:szCs w:val="20"/>
              </w:rPr>
              <w:t>2</w:t>
            </w:r>
            <w:r w:rsidR="003160F2">
              <w:rPr>
                <w:sz w:val="20"/>
                <w:szCs w:val="20"/>
              </w:rPr>
              <w:t>.</w:t>
            </w:r>
            <w:r w:rsidRPr="003160F2">
              <w:rPr>
                <w:sz w:val="20"/>
                <w:szCs w:val="20"/>
              </w:rPr>
              <w:t>3</w:t>
            </w:r>
          </w:p>
        </w:tc>
        <w:tc>
          <w:tcPr>
            <w:tcW w:w="678" w:type="pct"/>
            <w:vAlign w:val="center"/>
          </w:tcPr>
          <w:p w14:paraId="49F82017" w14:textId="18F0CDB0" w:rsidR="00153B8A" w:rsidRPr="003160F2" w:rsidRDefault="00153B8A" w:rsidP="003160F2">
            <w:pPr>
              <w:spacing w:after="0"/>
              <w:jc w:val="right"/>
              <w:rPr>
                <w:sz w:val="20"/>
                <w:szCs w:val="20"/>
              </w:rPr>
            </w:pPr>
            <w:r w:rsidRPr="003160F2">
              <w:rPr>
                <w:sz w:val="20"/>
                <w:szCs w:val="20"/>
              </w:rPr>
              <w:t>3</w:t>
            </w:r>
            <w:r w:rsidR="003160F2">
              <w:rPr>
                <w:sz w:val="20"/>
                <w:szCs w:val="20"/>
              </w:rPr>
              <w:t>.</w:t>
            </w:r>
            <w:r w:rsidRPr="003160F2">
              <w:rPr>
                <w:sz w:val="20"/>
                <w:szCs w:val="20"/>
              </w:rPr>
              <w:t>6</w:t>
            </w:r>
          </w:p>
        </w:tc>
      </w:tr>
      <w:tr w:rsidR="00DF0694" w:rsidRPr="003160F2" w14:paraId="05A03074" w14:textId="77777777" w:rsidTr="003160F2">
        <w:tblPrEx>
          <w:tblLook w:val="04A0" w:firstRow="1" w:lastRow="0" w:firstColumn="1" w:lastColumn="0" w:noHBand="0" w:noVBand="1"/>
        </w:tblPrEx>
        <w:trPr>
          <w:trHeight w:val="291"/>
        </w:trPr>
        <w:tc>
          <w:tcPr>
            <w:tcW w:w="2290" w:type="pct"/>
            <w:vAlign w:val="center"/>
          </w:tcPr>
          <w:p w14:paraId="7A970CA3" w14:textId="77777777" w:rsidR="00DF0694" w:rsidRPr="003160F2" w:rsidRDefault="00DF0694" w:rsidP="00AB2EF5">
            <w:pPr>
              <w:spacing w:after="0"/>
              <w:rPr>
                <w:b/>
                <w:sz w:val="20"/>
                <w:szCs w:val="20"/>
                <w:lang w:eastAsia="sk-SK"/>
              </w:rPr>
            </w:pPr>
            <w:r w:rsidRPr="003160F2">
              <w:rPr>
                <w:b/>
                <w:sz w:val="20"/>
                <w:szCs w:val="20"/>
                <w:lang w:eastAsia="sk-SK"/>
              </w:rPr>
              <w:t>Total</w:t>
            </w:r>
            <w:r w:rsidRPr="003160F2">
              <w:rPr>
                <w:rStyle w:val="FootnoteReference"/>
                <w:sz w:val="20"/>
                <w:szCs w:val="20"/>
                <w:lang w:eastAsia="sk-SK"/>
              </w:rPr>
              <w:footnoteReference w:id="12"/>
            </w:r>
          </w:p>
        </w:tc>
        <w:tc>
          <w:tcPr>
            <w:tcW w:w="677" w:type="pct"/>
            <w:vAlign w:val="center"/>
          </w:tcPr>
          <w:p w14:paraId="0FCCC706" w14:textId="13C9F8D9" w:rsidR="00DF0694" w:rsidRPr="003160F2" w:rsidRDefault="00DF0694" w:rsidP="003160F2">
            <w:pPr>
              <w:spacing w:after="0"/>
              <w:jc w:val="right"/>
              <w:rPr>
                <w:b/>
                <w:sz w:val="20"/>
                <w:szCs w:val="20"/>
              </w:rPr>
            </w:pPr>
            <w:r w:rsidRPr="003160F2">
              <w:rPr>
                <w:b/>
                <w:sz w:val="20"/>
                <w:szCs w:val="20"/>
              </w:rPr>
              <w:t>11</w:t>
            </w:r>
            <w:r w:rsidR="003160F2">
              <w:rPr>
                <w:b/>
                <w:sz w:val="20"/>
                <w:szCs w:val="20"/>
              </w:rPr>
              <w:t>.</w:t>
            </w:r>
            <w:r w:rsidRPr="003160F2">
              <w:rPr>
                <w:b/>
                <w:sz w:val="20"/>
                <w:szCs w:val="20"/>
              </w:rPr>
              <w:t>8</w:t>
            </w:r>
          </w:p>
        </w:tc>
        <w:tc>
          <w:tcPr>
            <w:tcW w:w="678" w:type="pct"/>
            <w:vAlign w:val="center"/>
          </w:tcPr>
          <w:p w14:paraId="3DFBE3C2" w14:textId="5F92CC15" w:rsidR="00DF0694" w:rsidRPr="003160F2" w:rsidRDefault="00DF0694" w:rsidP="003160F2">
            <w:pPr>
              <w:spacing w:after="0"/>
              <w:jc w:val="right"/>
              <w:rPr>
                <w:b/>
                <w:sz w:val="20"/>
                <w:szCs w:val="20"/>
              </w:rPr>
            </w:pPr>
            <w:r w:rsidRPr="003160F2">
              <w:rPr>
                <w:b/>
                <w:sz w:val="20"/>
                <w:szCs w:val="20"/>
              </w:rPr>
              <w:t>11</w:t>
            </w:r>
            <w:r w:rsidR="003160F2">
              <w:rPr>
                <w:b/>
                <w:sz w:val="20"/>
                <w:szCs w:val="20"/>
              </w:rPr>
              <w:t>.</w:t>
            </w:r>
            <w:r w:rsidRPr="003160F2">
              <w:rPr>
                <w:b/>
                <w:sz w:val="20"/>
                <w:szCs w:val="20"/>
              </w:rPr>
              <w:t>3</w:t>
            </w:r>
          </w:p>
        </w:tc>
        <w:tc>
          <w:tcPr>
            <w:tcW w:w="678" w:type="pct"/>
            <w:vAlign w:val="center"/>
          </w:tcPr>
          <w:p w14:paraId="035D5442" w14:textId="73274867" w:rsidR="00DF0694" w:rsidRPr="003160F2" w:rsidRDefault="00DF0694" w:rsidP="003160F2">
            <w:pPr>
              <w:spacing w:after="0"/>
              <w:jc w:val="right"/>
              <w:rPr>
                <w:b/>
                <w:sz w:val="20"/>
                <w:szCs w:val="20"/>
              </w:rPr>
            </w:pPr>
            <w:r w:rsidRPr="003160F2">
              <w:rPr>
                <w:b/>
                <w:sz w:val="20"/>
                <w:szCs w:val="20"/>
              </w:rPr>
              <w:t>11</w:t>
            </w:r>
            <w:r w:rsidR="003160F2">
              <w:rPr>
                <w:b/>
                <w:sz w:val="20"/>
                <w:szCs w:val="20"/>
              </w:rPr>
              <w:t>.</w:t>
            </w:r>
            <w:r w:rsidRPr="003160F2">
              <w:rPr>
                <w:b/>
                <w:sz w:val="20"/>
                <w:szCs w:val="20"/>
              </w:rPr>
              <w:t>3</w:t>
            </w:r>
          </w:p>
        </w:tc>
        <w:tc>
          <w:tcPr>
            <w:tcW w:w="678" w:type="pct"/>
            <w:vAlign w:val="center"/>
          </w:tcPr>
          <w:p w14:paraId="2E762618" w14:textId="4E712641" w:rsidR="00DF0694" w:rsidRPr="003160F2" w:rsidRDefault="00DF0694" w:rsidP="003160F2">
            <w:pPr>
              <w:spacing w:after="0"/>
              <w:jc w:val="right"/>
              <w:rPr>
                <w:b/>
                <w:sz w:val="20"/>
                <w:szCs w:val="20"/>
              </w:rPr>
            </w:pPr>
            <w:r w:rsidRPr="003160F2">
              <w:rPr>
                <w:b/>
                <w:sz w:val="20"/>
                <w:szCs w:val="20"/>
              </w:rPr>
              <w:t>11</w:t>
            </w:r>
            <w:r w:rsidR="003160F2">
              <w:rPr>
                <w:b/>
                <w:sz w:val="20"/>
                <w:szCs w:val="20"/>
              </w:rPr>
              <w:t>.</w:t>
            </w:r>
            <w:r w:rsidRPr="003160F2">
              <w:rPr>
                <w:b/>
                <w:sz w:val="20"/>
                <w:szCs w:val="20"/>
              </w:rPr>
              <w:t>5</w:t>
            </w:r>
          </w:p>
        </w:tc>
      </w:tr>
    </w:tbl>
    <w:p w14:paraId="1DC0FD56" w14:textId="5277D873" w:rsidR="00DF0694" w:rsidRPr="003160F2" w:rsidRDefault="00DF0694" w:rsidP="00AB2EF5">
      <w:pPr>
        <w:spacing w:after="0"/>
        <w:rPr>
          <w:i/>
          <w:sz w:val="20"/>
          <w:szCs w:val="20"/>
        </w:rPr>
      </w:pPr>
      <w:r w:rsidRPr="003160F2">
        <w:rPr>
          <w:bCs/>
          <w:i/>
          <w:sz w:val="20"/>
          <w:szCs w:val="20"/>
        </w:rPr>
        <w:t>Source: LFS UDB 2012-2015 (Statistical Office of the Slovak Republic, October 2016)</w:t>
      </w:r>
    </w:p>
    <w:p w14:paraId="11597AAB" w14:textId="77777777" w:rsidR="00BA25CA" w:rsidRPr="003160F2" w:rsidRDefault="00BA25CA" w:rsidP="00AB2EF5">
      <w:pPr>
        <w:spacing w:after="0"/>
        <w:rPr>
          <w:sz w:val="20"/>
          <w:szCs w:val="20"/>
        </w:rPr>
      </w:pPr>
    </w:p>
    <w:p w14:paraId="73C7D655" w14:textId="77777777" w:rsidR="00DF0694" w:rsidRPr="003160F2" w:rsidRDefault="00BA25CA" w:rsidP="00AB2EF5">
      <w:pPr>
        <w:pStyle w:val="Un-numberedsubheading"/>
        <w:spacing w:after="0"/>
        <w:rPr>
          <w:sz w:val="20"/>
          <w:szCs w:val="20"/>
        </w:rPr>
      </w:pPr>
      <w:r w:rsidRPr="003160F2">
        <w:rPr>
          <w:sz w:val="20"/>
          <w:szCs w:val="20"/>
        </w:rPr>
        <w:t>Unemployed</w:t>
      </w:r>
      <w:r w:rsidR="00DF0694" w:rsidRPr="003160F2">
        <w:rPr>
          <w:sz w:val="20"/>
          <w:szCs w:val="20"/>
        </w:rPr>
        <w:t xml:space="preserve"> 15-29-year olds with disabilities by the education attainment level (%)</w:t>
      </w:r>
    </w:p>
    <w:tbl>
      <w:tblPr>
        <w:tblStyle w:val="TableGrid"/>
        <w:tblW w:w="5000" w:type="pct"/>
        <w:tblLook w:val="0000" w:firstRow="0" w:lastRow="0" w:firstColumn="0" w:lastColumn="0" w:noHBand="0" w:noVBand="0"/>
      </w:tblPr>
      <w:tblGrid>
        <w:gridCol w:w="4248"/>
        <w:gridCol w:w="1260"/>
        <w:gridCol w:w="1260"/>
        <w:gridCol w:w="1259"/>
        <w:gridCol w:w="1259"/>
      </w:tblGrid>
      <w:tr w:rsidR="00DF0694" w:rsidRPr="003160F2" w14:paraId="769EF071" w14:textId="77777777" w:rsidTr="003160F2">
        <w:trPr>
          <w:trHeight w:val="590"/>
        </w:trPr>
        <w:tc>
          <w:tcPr>
            <w:tcW w:w="2287" w:type="pct"/>
            <w:vAlign w:val="center"/>
          </w:tcPr>
          <w:p w14:paraId="071D373E" w14:textId="1F84B087" w:rsidR="00DF0694" w:rsidRPr="003160F2" w:rsidRDefault="00DF0694" w:rsidP="00AB2EF5">
            <w:pPr>
              <w:spacing w:after="0"/>
              <w:ind w:right="-56"/>
              <w:rPr>
                <w:sz w:val="20"/>
                <w:szCs w:val="20"/>
              </w:rPr>
            </w:pPr>
            <w:r w:rsidRPr="003160F2">
              <w:rPr>
                <w:sz w:val="20"/>
                <w:szCs w:val="20"/>
              </w:rPr>
              <w:t>Education</w:t>
            </w:r>
          </w:p>
        </w:tc>
        <w:tc>
          <w:tcPr>
            <w:tcW w:w="678" w:type="pct"/>
            <w:vAlign w:val="center"/>
          </w:tcPr>
          <w:p w14:paraId="06DCEC91" w14:textId="4074E7BC" w:rsidR="00DF0694" w:rsidRPr="003160F2" w:rsidRDefault="00DF0694" w:rsidP="00AB2EF5">
            <w:pPr>
              <w:spacing w:after="0"/>
              <w:rPr>
                <w:sz w:val="20"/>
                <w:szCs w:val="20"/>
              </w:rPr>
            </w:pPr>
            <w:r w:rsidRPr="003160F2">
              <w:rPr>
                <w:sz w:val="20"/>
                <w:szCs w:val="20"/>
              </w:rPr>
              <w:t>LFS 2012</w:t>
            </w:r>
          </w:p>
        </w:tc>
        <w:tc>
          <w:tcPr>
            <w:tcW w:w="678" w:type="pct"/>
            <w:vAlign w:val="center"/>
          </w:tcPr>
          <w:p w14:paraId="646C1C23" w14:textId="5FEAF614" w:rsidR="00DF0694" w:rsidRPr="003160F2" w:rsidRDefault="00DF0694" w:rsidP="00AB2EF5">
            <w:pPr>
              <w:spacing w:after="0"/>
              <w:rPr>
                <w:sz w:val="20"/>
                <w:szCs w:val="20"/>
              </w:rPr>
            </w:pPr>
            <w:r w:rsidRPr="003160F2">
              <w:rPr>
                <w:sz w:val="20"/>
                <w:szCs w:val="20"/>
              </w:rPr>
              <w:t>LFS 2013</w:t>
            </w:r>
          </w:p>
        </w:tc>
        <w:tc>
          <w:tcPr>
            <w:tcW w:w="678" w:type="pct"/>
            <w:vAlign w:val="center"/>
          </w:tcPr>
          <w:p w14:paraId="22806407" w14:textId="53EF54DA" w:rsidR="00DF0694" w:rsidRPr="003160F2" w:rsidRDefault="00DF0694" w:rsidP="00AB2EF5">
            <w:pPr>
              <w:spacing w:after="0"/>
              <w:rPr>
                <w:sz w:val="20"/>
                <w:szCs w:val="20"/>
              </w:rPr>
            </w:pPr>
            <w:r w:rsidRPr="003160F2">
              <w:rPr>
                <w:sz w:val="20"/>
                <w:szCs w:val="20"/>
              </w:rPr>
              <w:t>LFS 2014</w:t>
            </w:r>
          </w:p>
        </w:tc>
        <w:tc>
          <w:tcPr>
            <w:tcW w:w="678" w:type="pct"/>
            <w:vAlign w:val="center"/>
          </w:tcPr>
          <w:p w14:paraId="328A16F1" w14:textId="1F970524" w:rsidR="00DF0694" w:rsidRPr="003160F2" w:rsidRDefault="00DF0694" w:rsidP="00AB2EF5">
            <w:pPr>
              <w:spacing w:after="0"/>
              <w:rPr>
                <w:sz w:val="20"/>
                <w:szCs w:val="20"/>
              </w:rPr>
            </w:pPr>
            <w:r w:rsidRPr="003160F2">
              <w:rPr>
                <w:sz w:val="20"/>
                <w:szCs w:val="20"/>
              </w:rPr>
              <w:t>LFS 2015</w:t>
            </w:r>
          </w:p>
        </w:tc>
      </w:tr>
      <w:tr w:rsidR="00153B8A" w:rsidRPr="003160F2" w14:paraId="3E8DBF0D" w14:textId="77777777" w:rsidTr="003160F2">
        <w:trPr>
          <w:trHeight w:val="291"/>
        </w:trPr>
        <w:tc>
          <w:tcPr>
            <w:tcW w:w="2287" w:type="pct"/>
            <w:vAlign w:val="center"/>
          </w:tcPr>
          <w:p w14:paraId="738B7FEC" w14:textId="297FC7A1" w:rsidR="00153B8A" w:rsidRPr="003160F2" w:rsidRDefault="00DF0694" w:rsidP="00AB2EF5">
            <w:pPr>
              <w:spacing w:after="0"/>
              <w:rPr>
                <w:sz w:val="20"/>
                <w:szCs w:val="20"/>
                <w:lang w:eastAsia="sk-SK"/>
              </w:rPr>
            </w:pPr>
            <w:r w:rsidRPr="003160F2">
              <w:rPr>
                <w:sz w:val="20"/>
                <w:szCs w:val="20"/>
                <w:lang w:eastAsia="sk-SK"/>
              </w:rPr>
              <w:t>Lower secondary and less (ISCED 0-2)</w:t>
            </w:r>
          </w:p>
        </w:tc>
        <w:tc>
          <w:tcPr>
            <w:tcW w:w="678" w:type="pct"/>
            <w:vAlign w:val="center"/>
          </w:tcPr>
          <w:p w14:paraId="49B7825C" w14:textId="459C5095"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6</w:t>
            </w:r>
          </w:p>
        </w:tc>
        <w:tc>
          <w:tcPr>
            <w:tcW w:w="678" w:type="pct"/>
            <w:vAlign w:val="center"/>
          </w:tcPr>
          <w:p w14:paraId="2010E68E" w14:textId="6D165469"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0</w:t>
            </w:r>
          </w:p>
        </w:tc>
        <w:tc>
          <w:tcPr>
            <w:tcW w:w="678" w:type="pct"/>
            <w:vAlign w:val="center"/>
          </w:tcPr>
          <w:p w14:paraId="436994FA" w14:textId="06EA48EA" w:rsidR="00153B8A" w:rsidRPr="003160F2" w:rsidRDefault="00153B8A" w:rsidP="003160F2">
            <w:pPr>
              <w:spacing w:after="0"/>
              <w:jc w:val="right"/>
              <w:rPr>
                <w:sz w:val="20"/>
                <w:szCs w:val="20"/>
              </w:rPr>
            </w:pPr>
            <w:r w:rsidRPr="003160F2">
              <w:rPr>
                <w:sz w:val="20"/>
                <w:szCs w:val="20"/>
              </w:rPr>
              <w:t>0</w:t>
            </w:r>
            <w:r w:rsidR="003160F2">
              <w:rPr>
                <w:sz w:val="20"/>
                <w:szCs w:val="20"/>
              </w:rPr>
              <w:t>.</w:t>
            </w:r>
            <w:r w:rsidRPr="003160F2">
              <w:rPr>
                <w:sz w:val="20"/>
                <w:szCs w:val="20"/>
              </w:rPr>
              <w:t>9</w:t>
            </w:r>
          </w:p>
        </w:tc>
        <w:tc>
          <w:tcPr>
            <w:tcW w:w="678" w:type="pct"/>
            <w:vAlign w:val="center"/>
          </w:tcPr>
          <w:p w14:paraId="448507EC" w14:textId="2E2DD3EC" w:rsidR="00153B8A" w:rsidRPr="003160F2" w:rsidRDefault="00153B8A" w:rsidP="003160F2">
            <w:pPr>
              <w:spacing w:after="0"/>
              <w:jc w:val="right"/>
              <w:rPr>
                <w:sz w:val="20"/>
                <w:szCs w:val="20"/>
              </w:rPr>
            </w:pPr>
            <w:r w:rsidRPr="003160F2">
              <w:rPr>
                <w:sz w:val="20"/>
                <w:szCs w:val="20"/>
              </w:rPr>
              <w:t>1</w:t>
            </w:r>
            <w:r w:rsidR="003160F2">
              <w:rPr>
                <w:sz w:val="20"/>
                <w:szCs w:val="20"/>
              </w:rPr>
              <w:t>.</w:t>
            </w:r>
            <w:r w:rsidRPr="003160F2">
              <w:rPr>
                <w:sz w:val="20"/>
                <w:szCs w:val="20"/>
              </w:rPr>
              <w:t>0</w:t>
            </w:r>
          </w:p>
        </w:tc>
      </w:tr>
      <w:tr w:rsidR="006D39C1" w:rsidRPr="003160F2" w14:paraId="38392AD6" w14:textId="77777777" w:rsidTr="003160F2">
        <w:trPr>
          <w:trHeight w:val="291"/>
        </w:trPr>
        <w:tc>
          <w:tcPr>
            <w:tcW w:w="2287" w:type="pct"/>
            <w:vAlign w:val="center"/>
          </w:tcPr>
          <w:p w14:paraId="7E1F4F29" w14:textId="050A180E" w:rsidR="006D39C1" w:rsidRPr="003160F2" w:rsidRDefault="006D39C1" w:rsidP="00AB2EF5">
            <w:pPr>
              <w:spacing w:after="0"/>
              <w:rPr>
                <w:sz w:val="20"/>
                <w:szCs w:val="20"/>
                <w:lang w:eastAsia="sk-SK"/>
              </w:rPr>
            </w:pPr>
            <w:r w:rsidRPr="003160F2">
              <w:rPr>
                <w:sz w:val="20"/>
                <w:szCs w:val="20"/>
                <w:lang w:eastAsia="sk-SK"/>
              </w:rPr>
              <w:t>Upper secondary (ISCED 3-4)</w:t>
            </w:r>
          </w:p>
        </w:tc>
        <w:tc>
          <w:tcPr>
            <w:tcW w:w="678" w:type="pct"/>
            <w:vAlign w:val="center"/>
          </w:tcPr>
          <w:p w14:paraId="122CDBD9" w14:textId="23680F0E" w:rsidR="006D39C1" w:rsidRPr="003160F2" w:rsidRDefault="006D39C1" w:rsidP="003160F2">
            <w:pPr>
              <w:spacing w:after="0"/>
              <w:jc w:val="right"/>
              <w:rPr>
                <w:sz w:val="20"/>
                <w:szCs w:val="20"/>
              </w:rPr>
            </w:pPr>
            <w:r w:rsidRPr="003160F2">
              <w:rPr>
                <w:sz w:val="20"/>
                <w:szCs w:val="20"/>
              </w:rPr>
              <w:t>19</w:t>
            </w:r>
            <w:r w:rsidR="003160F2">
              <w:rPr>
                <w:sz w:val="20"/>
                <w:szCs w:val="20"/>
              </w:rPr>
              <w:t>.</w:t>
            </w:r>
            <w:r w:rsidRPr="003160F2">
              <w:rPr>
                <w:sz w:val="20"/>
                <w:szCs w:val="20"/>
              </w:rPr>
              <w:t>1</w:t>
            </w:r>
          </w:p>
        </w:tc>
        <w:tc>
          <w:tcPr>
            <w:tcW w:w="678" w:type="pct"/>
            <w:vAlign w:val="center"/>
          </w:tcPr>
          <w:p w14:paraId="5DFAC25C" w14:textId="7768313E" w:rsidR="006D39C1" w:rsidRPr="003160F2" w:rsidRDefault="006D39C1" w:rsidP="003160F2">
            <w:pPr>
              <w:spacing w:after="0"/>
              <w:jc w:val="right"/>
              <w:rPr>
                <w:sz w:val="20"/>
                <w:szCs w:val="20"/>
              </w:rPr>
            </w:pPr>
            <w:r w:rsidRPr="003160F2">
              <w:rPr>
                <w:sz w:val="20"/>
                <w:szCs w:val="20"/>
              </w:rPr>
              <w:t>16</w:t>
            </w:r>
            <w:r w:rsidR="003160F2">
              <w:rPr>
                <w:sz w:val="20"/>
                <w:szCs w:val="20"/>
              </w:rPr>
              <w:t>.</w:t>
            </w:r>
            <w:r w:rsidRPr="003160F2">
              <w:rPr>
                <w:sz w:val="20"/>
                <w:szCs w:val="20"/>
              </w:rPr>
              <w:t>3</w:t>
            </w:r>
          </w:p>
        </w:tc>
        <w:tc>
          <w:tcPr>
            <w:tcW w:w="678" w:type="pct"/>
            <w:vAlign w:val="center"/>
          </w:tcPr>
          <w:p w14:paraId="77FF3BE7" w14:textId="7B7000CD" w:rsidR="006D39C1" w:rsidRPr="003160F2" w:rsidRDefault="006D39C1" w:rsidP="003160F2">
            <w:pPr>
              <w:spacing w:after="0"/>
              <w:jc w:val="right"/>
              <w:rPr>
                <w:sz w:val="20"/>
                <w:szCs w:val="20"/>
              </w:rPr>
            </w:pPr>
            <w:r w:rsidRPr="003160F2">
              <w:rPr>
                <w:sz w:val="20"/>
                <w:szCs w:val="20"/>
              </w:rPr>
              <w:t>17</w:t>
            </w:r>
            <w:r w:rsidR="003160F2">
              <w:rPr>
                <w:sz w:val="20"/>
                <w:szCs w:val="20"/>
              </w:rPr>
              <w:t>.</w:t>
            </w:r>
            <w:r w:rsidRPr="003160F2">
              <w:rPr>
                <w:sz w:val="20"/>
                <w:szCs w:val="20"/>
              </w:rPr>
              <w:t>6</w:t>
            </w:r>
          </w:p>
        </w:tc>
        <w:tc>
          <w:tcPr>
            <w:tcW w:w="678" w:type="pct"/>
            <w:vAlign w:val="center"/>
          </w:tcPr>
          <w:p w14:paraId="15AA101F" w14:textId="12B011F1" w:rsidR="006D39C1" w:rsidRPr="003160F2" w:rsidRDefault="006D39C1" w:rsidP="003160F2">
            <w:pPr>
              <w:spacing w:after="0"/>
              <w:jc w:val="right"/>
              <w:rPr>
                <w:sz w:val="20"/>
                <w:szCs w:val="20"/>
              </w:rPr>
            </w:pPr>
            <w:r w:rsidRPr="003160F2">
              <w:rPr>
                <w:sz w:val="20"/>
                <w:szCs w:val="20"/>
              </w:rPr>
              <w:t>13</w:t>
            </w:r>
            <w:r w:rsidR="003160F2">
              <w:rPr>
                <w:sz w:val="20"/>
                <w:szCs w:val="20"/>
              </w:rPr>
              <w:t>.</w:t>
            </w:r>
            <w:r w:rsidRPr="003160F2">
              <w:rPr>
                <w:sz w:val="20"/>
                <w:szCs w:val="20"/>
              </w:rPr>
              <w:t>4</w:t>
            </w:r>
          </w:p>
        </w:tc>
      </w:tr>
      <w:tr w:rsidR="00DF0694" w:rsidRPr="003160F2" w14:paraId="0F8BB4B3" w14:textId="77777777" w:rsidTr="003160F2">
        <w:trPr>
          <w:trHeight w:val="291"/>
        </w:trPr>
        <w:tc>
          <w:tcPr>
            <w:tcW w:w="2287" w:type="pct"/>
            <w:shd w:val="clear" w:color="auto" w:fill="auto"/>
            <w:vAlign w:val="center"/>
          </w:tcPr>
          <w:p w14:paraId="5F3F658A" w14:textId="261A264F" w:rsidR="00DF0694" w:rsidRPr="003160F2" w:rsidRDefault="00DF0694" w:rsidP="00AB2EF5">
            <w:pPr>
              <w:spacing w:after="0"/>
              <w:rPr>
                <w:sz w:val="20"/>
                <w:szCs w:val="20"/>
                <w:lang w:eastAsia="sk-SK"/>
              </w:rPr>
            </w:pPr>
            <w:r w:rsidRPr="003160F2">
              <w:rPr>
                <w:sz w:val="20"/>
                <w:szCs w:val="20"/>
                <w:lang w:eastAsia="sk-SK"/>
              </w:rPr>
              <w:t>Tertiary (ISCED 5-6)</w:t>
            </w:r>
          </w:p>
        </w:tc>
        <w:tc>
          <w:tcPr>
            <w:tcW w:w="678" w:type="pct"/>
            <w:shd w:val="clear" w:color="auto" w:fill="auto"/>
            <w:vAlign w:val="center"/>
          </w:tcPr>
          <w:p w14:paraId="1E274A95" w14:textId="1457B02C" w:rsidR="00DF0694" w:rsidRPr="003160F2" w:rsidRDefault="00DF0694" w:rsidP="003160F2">
            <w:pPr>
              <w:spacing w:after="0"/>
              <w:jc w:val="right"/>
              <w:rPr>
                <w:sz w:val="20"/>
                <w:szCs w:val="20"/>
              </w:rPr>
            </w:pPr>
            <w:r w:rsidRPr="003160F2">
              <w:rPr>
                <w:sz w:val="20"/>
                <w:szCs w:val="20"/>
              </w:rPr>
              <w:t>0</w:t>
            </w:r>
            <w:r w:rsidR="003160F2">
              <w:rPr>
                <w:sz w:val="20"/>
                <w:szCs w:val="20"/>
              </w:rPr>
              <w:t>.</w:t>
            </w:r>
            <w:r w:rsidRPr="003160F2">
              <w:rPr>
                <w:sz w:val="20"/>
                <w:szCs w:val="20"/>
              </w:rPr>
              <w:t>0</w:t>
            </w:r>
          </w:p>
        </w:tc>
        <w:tc>
          <w:tcPr>
            <w:tcW w:w="678" w:type="pct"/>
            <w:shd w:val="clear" w:color="auto" w:fill="auto"/>
            <w:vAlign w:val="center"/>
          </w:tcPr>
          <w:p w14:paraId="6464FBBC" w14:textId="55FD392A" w:rsidR="00DF0694" w:rsidRPr="003160F2" w:rsidRDefault="00DF0694" w:rsidP="003160F2">
            <w:pPr>
              <w:spacing w:after="0"/>
              <w:jc w:val="right"/>
              <w:rPr>
                <w:sz w:val="20"/>
                <w:szCs w:val="20"/>
              </w:rPr>
            </w:pPr>
            <w:r w:rsidRPr="003160F2">
              <w:rPr>
                <w:sz w:val="20"/>
                <w:szCs w:val="20"/>
              </w:rPr>
              <w:t>1</w:t>
            </w:r>
            <w:r w:rsidR="003160F2">
              <w:rPr>
                <w:sz w:val="20"/>
                <w:szCs w:val="20"/>
              </w:rPr>
              <w:t>.</w:t>
            </w:r>
            <w:r w:rsidRPr="003160F2">
              <w:rPr>
                <w:sz w:val="20"/>
                <w:szCs w:val="20"/>
              </w:rPr>
              <w:t>8</w:t>
            </w:r>
          </w:p>
        </w:tc>
        <w:tc>
          <w:tcPr>
            <w:tcW w:w="678" w:type="pct"/>
            <w:shd w:val="clear" w:color="auto" w:fill="auto"/>
            <w:vAlign w:val="center"/>
          </w:tcPr>
          <w:p w14:paraId="111A51B0" w14:textId="48BCDEFC" w:rsidR="00DF0694" w:rsidRPr="003160F2" w:rsidRDefault="00DF0694" w:rsidP="003160F2">
            <w:pPr>
              <w:spacing w:after="0"/>
              <w:jc w:val="right"/>
              <w:rPr>
                <w:sz w:val="20"/>
                <w:szCs w:val="20"/>
              </w:rPr>
            </w:pPr>
            <w:r w:rsidRPr="003160F2">
              <w:rPr>
                <w:sz w:val="20"/>
                <w:szCs w:val="20"/>
              </w:rPr>
              <w:t>2</w:t>
            </w:r>
            <w:r w:rsidR="003160F2">
              <w:rPr>
                <w:sz w:val="20"/>
                <w:szCs w:val="20"/>
              </w:rPr>
              <w:t>.</w:t>
            </w:r>
            <w:r w:rsidRPr="003160F2">
              <w:rPr>
                <w:sz w:val="20"/>
                <w:szCs w:val="20"/>
              </w:rPr>
              <w:t>0</w:t>
            </w:r>
          </w:p>
        </w:tc>
        <w:tc>
          <w:tcPr>
            <w:tcW w:w="678" w:type="pct"/>
            <w:shd w:val="clear" w:color="auto" w:fill="auto"/>
            <w:vAlign w:val="center"/>
          </w:tcPr>
          <w:p w14:paraId="39BC801D" w14:textId="30F3DC7F" w:rsidR="00DF0694" w:rsidRPr="003160F2" w:rsidRDefault="00DF0694" w:rsidP="003160F2">
            <w:pPr>
              <w:spacing w:after="0"/>
              <w:jc w:val="right"/>
              <w:rPr>
                <w:sz w:val="20"/>
                <w:szCs w:val="20"/>
              </w:rPr>
            </w:pPr>
            <w:r w:rsidRPr="003160F2">
              <w:rPr>
                <w:sz w:val="20"/>
                <w:szCs w:val="20"/>
              </w:rPr>
              <w:t>4</w:t>
            </w:r>
            <w:r w:rsidR="003160F2">
              <w:rPr>
                <w:sz w:val="20"/>
                <w:szCs w:val="20"/>
              </w:rPr>
              <w:t>.</w:t>
            </w:r>
            <w:r w:rsidRPr="003160F2">
              <w:rPr>
                <w:sz w:val="20"/>
                <w:szCs w:val="20"/>
              </w:rPr>
              <w:t>7</w:t>
            </w:r>
          </w:p>
        </w:tc>
      </w:tr>
      <w:tr w:rsidR="006D39C1" w:rsidRPr="003160F2" w14:paraId="6A0B162C" w14:textId="77777777" w:rsidTr="003160F2">
        <w:trPr>
          <w:trHeight w:val="291"/>
        </w:trPr>
        <w:tc>
          <w:tcPr>
            <w:tcW w:w="2287" w:type="pct"/>
            <w:shd w:val="clear" w:color="auto" w:fill="auto"/>
            <w:vAlign w:val="center"/>
          </w:tcPr>
          <w:p w14:paraId="583E756E" w14:textId="0CC9A75E" w:rsidR="006D39C1" w:rsidRPr="003160F2" w:rsidRDefault="006D39C1" w:rsidP="00AB2EF5">
            <w:pPr>
              <w:spacing w:after="0"/>
              <w:rPr>
                <w:sz w:val="20"/>
                <w:szCs w:val="20"/>
                <w:lang w:eastAsia="sk-SK"/>
              </w:rPr>
            </w:pPr>
            <w:r w:rsidRPr="003160F2">
              <w:rPr>
                <w:b/>
                <w:sz w:val="20"/>
                <w:szCs w:val="20"/>
                <w:lang w:eastAsia="sk-SK"/>
              </w:rPr>
              <w:t>Total</w:t>
            </w:r>
            <w:r w:rsidRPr="003160F2">
              <w:rPr>
                <w:rStyle w:val="FootnoteReference"/>
                <w:sz w:val="20"/>
                <w:szCs w:val="20"/>
                <w:lang w:eastAsia="sk-SK"/>
              </w:rPr>
              <w:footnoteReference w:id="13"/>
            </w:r>
          </w:p>
        </w:tc>
        <w:tc>
          <w:tcPr>
            <w:tcW w:w="678" w:type="pct"/>
            <w:shd w:val="clear" w:color="auto" w:fill="auto"/>
            <w:vAlign w:val="center"/>
          </w:tcPr>
          <w:p w14:paraId="6F2BE509" w14:textId="4BEE9A10" w:rsidR="006D39C1" w:rsidRPr="003160F2" w:rsidRDefault="006D39C1" w:rsidP="003160F2">
            <w:pPr>
              <w:spacing w:after="0"/>
              <w:jc w:val="right"/>
              <w:rPr>
                <w:sz w:val="20"/>
                <w:szCs w:val="20"/>
              </w:rPr>
            </w:pPr>
            <w:r w:rsidRPr="003160F2">
              <w:rPr>
                <w:b/>
                <w:sz w:val="20"/>
                <w:szCs w:val="20"/>
              </w:rPr>
              <w:t>19</w:t>
            </w:r>
            <w:r w:rsidR="003160F2">
              <w:rPr>
                <w:b/>
                <w:sz w:val="20"/>
                <w:szCs w:val="20"/>
              </w:rPr>
              <w:t>.</w:t>
            </w:r>
            <w:r w:rsidRPr="003160F2">
              <w:rPr>
                <w:b/>
                <w:sz w:val="20"/>
                <w:szCs w:val="20"/>
              </w:rPr>
              <w:t>8</w:t>
            </w:r>
          </w:p>
        </w:tc>
        <w:tc>
          <w:tcPr>
            <w:tcW w:w="678" w:type="pct"/>
            <w:shd w:val="clear" w:color="auto" w:fill="auto"/>
            <w:vAlign w:val="center"/>
          </w:tcPr>
          <w:p w14:paraId="01FE6F94" w14:textId="615D0AF5" w:rsidR="006D39C1" w:rsidRPr="003160F2" w:rsidRDefault="006D39C1" w:rsidP="003160F2">
            <w:pPr>
              <w:spacing w:after="0"/>
              <w:jc w:val="right"/>
              <w:rPr>
                <w:sz w:val="20"/>
                <w:szCs w:val="20"/>
              </w:rPr>
            </w:pPr>
            <w:r w:rsidRPr="003160F2">
              <w:rPr>
                <w:b/>
                <w:sz w:val="20"/>
                <w:szCs w:val="20"/>
              </w:rPr>
              <w:t>18</w:t>
            </w:r>
            <w:r w:rsidR="003160F2">
              <w:rPr>
                <w:b/>
                <w:sz w:val="20"/>
                <w:szCs w:val="20"/>
              </w:rPr>
              <w:t>.</w:t>
            </w:r>
            <w:r w:rsidRPr="003160F2">
              <w:rPr>
                <w:b/>
                <w:sz w:val="20"/>
                <w:szCs w:val="20"/>
              </w:rPr>
              <w:t>1</w:t>
            </w:r>
          </w:p>
        </w:tc>
        <w:tc>
          <w:tcPr>
            <w:tcW w:w="678" w:type="pct"/>
            <w:shd w:val="clear" w:color="auto" w:fill="auto"/>
            <w:vAlign w:val="center"/>
          </w:tcPr>
          <w:p w14:paraId="190B240F" w14:textId="706A9539" w:rsidR="006D39C1" w:rsidRPr="003160F2" w:rsidRDefault="006D39C1" w:rsidP="003160F2">
            <w:pPr>
              <w:spacing w:after="0"/>
              <w:jc w:val="right"/>
              <w:rPr>
                <w:sz w:val="20"/>
                <w:szCs w:val="20"/>
              </w:rPr>
            </w:pPr>
            <w:r w:rsidRPr="003160F2">
              <w:rPr>
                <w:b/>
                <w:sz w:val="20"/>
                <w:szCs w:val="20"/>
              </w:rPr>
              <w:t>20</w:t>
            </w:r>
            <w:r w:rsidR="003160F2">
              <w:rPr>
                <w:b/>
                <w:sz w:val="20"/>
                <w:szCs w:val="20"/>
              </w:rPr>
              <w:t>.</w:t>
            </w:r>
            <w:r w:rsidRPr="003160F2">
              <w:rPr>
                <w:b/>
                <w:sz w:val="20"/>
                <w:szCs w:val="20"/>
              </w:rPr>
              <w:t>6</w:t>
            </w:r>
          </w:p>
        </w:tc>
        <w:tc>
          <w:tcPr>
            <w:tcW w:w="678" w:type="pct"/>
            <w:shd w:val="clear" w:color="auto" w:fill="auto"/>
            <w:vAlign w:val="center"/>
          </w:tcPr>
          <w:p w14:paraId="5B731C21" w14:textId="42A4E199" w:rsidR="006D39C1" w:rsidRPr="003160F2" w:rsidRDefault="006D39C1" w:rsidP="003160F2">
            <w:pPr>
              <w:spacing w:after="0"/>
              <w:jc w:val="right"/>
              <w:rPr>
                <w:sz w:val="20"/>
                <w:szCs w:val="20"/>
              </w:rPr>
            </w:pPr>
            <w:r w:rsidRPr="003160F2">
              <w:rPr>
                <w:b/>
                <w:sz w:val="20"/>
                <w:szCs w:val="20"/>
              </w:rPr>
              <w:t>19</w:t>
            </w:r>
            <w:r w:rsidR="003160F2">
              <w:rPr>
                <w:b/>
                <w:sz w:val="20"/>
                <w:szCs w:val="20"/>
              </w:rPr>
              <w:t>.</w:t>
            </w:r>
            <w:r w:rsidRPr="003160F2">
              <w:rPr>
                <w:b/>
                <w:sz w:val="20"/>
                <w:szCs w:val="20"/>
              </w:rPr>
              <w:t>0</w:t>
            </w:r>
          </w:p>
        </w:tc>
      </w:tr>
    </w:tbl>
    <w:p w14:paraId="690F4C3E" w14:textId="543C6EBA" w:rsidR="00E37C86" w:rsidRPr="003160F2" w:rsidRDefault="00BA25CA" w:rsidP="00D73FC4">
      <w:pPr>
        <w:spacing w:after="0"/>
        <w:jc w:val="both"/>
        <w:rPr>
          <w:i/>
          <w:sz w:val="20"/>
          <w:szCs w:val="20"/>
        </w:rPr>
      </w:pPr>
      <w:r w:rsidRPr="003160F2">
        <w:rPr>
          <w:bCs/>
          <w:i/>
          <w:sz w:val="20"/>
          <w:szCs w:val="20"/>
        </w:rPr>
        <w:t xml:space="preserve">Source: LFS UDB </w:t>
      </w:r>
      <w:r w:rsidR="00DB553B" w:rsidRPr="003160F2">
        <w:rPr>
          <w:bCs/>
          <w:i/>
          <w:sz w:val="20"/>
          <w:szCs w:val="20"/>
        </w:rPr>
        <w:t>2012-</w:t>
      </w:r>
      <w:r w:rsidRPr="003160F2">
        <w:rPr>
          <w:bCs/>
          <w:i/>
          <w:sz w:val="20"/>
          <w:szCs w:val="20"/>
        </w:rPr>
        <w:t>2015 (Statistical Office of the Slovak Republic, October 2016)</w:t>
      </w:r>
    </w:p>
    <w:p w14:paraId="759B753D" w14:textId="77777777" w:rsidR="00BA25CA" w:rsidRPr="005A62BD" w:rsidRDefault="00BA25CA" w:rsidP="00D73FC4">
      <w:pPr>
        <w:pStyle w:val="Un-numberedsubheading"/>
        <w:spacing w:after="0"/>
        <w:jc w:val="both"/>
        <w:rPr>
          <w:b w:val="0"/>
        </w:rPr>
      </w:pPr>
    </w:p>
    <w:p w14:paraId="15A0A8CF" w14:textId="6B9ECB22" w:rsidR="00153B8A" w:rsidRDefault="00153B8A" w:rsidP="00D73FC4">
      <w:pPr>
        <w:pStyle w:val="Un-numberedsubheading"/>
        <w:spacing w:after="0"/>
        <w:jc w:val="both"/>
        <w:rPr>
          <w:b w:val="0"/>
        </w:rPr>
      </w:pPr>
      <w:r w:rsidRPr="005A62BD">
        <w:rPr>
          <w:b w:val="0"/>
        </w:rPr>
        <w:t xml:space="preserve">It can be assumed that the highest proportion of early school leavers with disability will be among economically inactive population but </w:t>
      </w:r>
      <w:r w:rsidR="005A62BD" w:rsidRPr="005A62BD">
        <w:rPr>
          <w:b w:val="0"/>
        </w:rPr>
        <w:t xml:space="preserve">there </w:t>
      </w:r>
      <w:r w:rsidR="008C17EE">
        <w:rPr>
          <w:b w:val="0"/>
        </w:rPr>
        <w:t>is</w:t>
      </w:r>
      <w:r w:rsidR="005A62BD" w:rsidRPr="005A62BD">
        <w:rPr>
          <w:b w:val="0"/>
        </w:rPr>
        <w:t xml:space="preserve"> </w:t>
      </w:r>
      <w:r w:rsidR="008C17EE">
        <w:rPr>
          <w:b w:val="0"/>
        </w:rPr>
        <w:t xml:space="preserve">no </w:t>
      </w:r>
      <w:r w:rsidR="005A62BD" w:rsidRPr="005A62BD">
        <w:rPr>
          <w:b w:val="0"/>
        </w:rPr>
        <w:t xml:space="preserve">type of data </w:t>
      </w:r>
      <w:r w:rsidRPr="005A62BD">
        <w:rPr>
          <w:b w:val="0"/>
        </w:rPr>
        <w:t>disaggregated by education.</w:t>
      </w:r>
    </w:p>
    <w:p w14:paraId="3921BEA2" w14:textId="77777777" w:rsidR="000F179F" w:rsidRPr="005A62BD" w:rsidRDefault="000F179F" w:rsidP="00D73FC4">
      <w:pPr>
        <w:pStyle w:val="Un-numberedsubheading"/>
        <w:spacing w:after="0"/>
        <w:jc w:val="both"/>
        <w:rPr>
          <w:b w:val="0"/>
        </w:rPr>
      </w:pPr>
    </w:p>
    <w:p w14:paraId="32EC33A0" w14:textId="77777777" w:rsidR="00561FF5" w:rsidRPr="005A62BD" w:rsidRDefault="00561FF5" w:rsidP="00D73FC4">
      <w:pPr>
        <w:pStyle w:val="Heading3"/>
        <w:jc w:val="both"/>
      </w:pPr>
      <w:bookmarkStart w:id="14" w:name="_Toc499120875"/>
      <w:r w:rsidRPr="005A62BD">
        <w:t>Tertiary education</w:t>
      </w:r>
      <w:bookmarkEnd w:id="14"/>
    </w:p>
    <w:p w14:paraId="2A85551F" w14:textId="77777777" w:rsidR="003C390B" w:rsidRPr="005A62BD" w:rsidRDefault="003C390B" w:rsidP="00D73FC4">
      <w:pPr>
        <w:spacing w:after="0"/>
        <w:jc w:val="both"/>
      </w:pPr>
    </w:p>
    <w:p w14:paraId="1CDE6969" w14:textId="061A46BA" w:rsidR="00631AB6" w:rsidRDefault="00631AB6" w:rsidP="00D73FC4">
      <w:pPr>
        <w:pStyle w:val="BodyText"/>
        <w:spacing w:after="0"/>
        <w:jc w:val="both"/>
      </w:pPr>
      <w:r w:rsidRPr="005A62BD">
        <w:t>The EU-SILC sample for the target age group (aged 30-34) includes the following number of people reporting activity ‘limitation’ (a proxy for impairment/disability) although the number of missing observations is larger than the number of observations for activity limitation.</w:t>
      </w:r>
    </w:p>
    <w:p w14:paraId="3917F715" w14:textId="77777777" w:rsidR="005A62BD" w:rsidRPr="005A62BD" w:rsidRDefault="005A62BD" w:rsidP="00AB2EF5">
      <w:pPr>
        <w:pStyle w:val="BodyText"/>
        <w:spacing w:after="0"/>
      </w:pPr>
    </w:p>
    <w:p w14:paraId="1B7EAD20" w14:textId="77777777" w:rsidR="00631AB6" w:rsidRPr="005A62BD" w:rsidRDefault="00631AB6"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14</w:t>
      </w:r>
      <w:r w:rsidR="00AB2EF5" w:rsidRPr="005A62BD">
        <w:rPr>
          <w:noProof/>
          <w:sz w:val="24"/>
          <w:szCs w:val="24"/>
        </w:rPr>
        <w:fldChar w:fldCharType="end"/>
      </w:r>
      <w:r w:rsidRPr="005A62BD">
        <w:rPr>
          <w:sz w:val="24"/>
          <w:szCs w:val="24"/>
        </w:rPr>
        <w:t>: EU-SILC sample size for the target age group 30-34 versus 30-39</w:t>
      </w:r>
    </w:p>
    <w:tbl>
      <w:tblPr>
        <w:tblStyle w:val="TableGrid"/>
        <w:tblW w:w="0" w:type="auto"/>
        <w:tblLook w:val="04A0" w:firstRow="1" w:lastRow="0" w:firstColumn="1" w:lastColumn="0" w:noHBand="0" w:noVBand="1"/>
      </w:tblPr>
      <w:tblGrid>
        <w:gridCol w:w="1718"/>
        <w:gridCol w:w="2000"/>
        <w:gridCol w:w="1784"/>
        <w:gridCol w:w="2000"/>
        <w:gridCol w:w="1784"/>
      </w:tblGrid>
      <w:tr w:rsidR="00631AB6" w:rsidRPr="005A62BD" w14:paraId="434AB72B" w14:textId="77777777" w:rsidTr="003D3619">
        <w:tc>
          <w:tcPr>
            <w:tcW w:w="0" w:type="auto"/>
          </w:tcPr>
          <w:p w14:paraId="65C45F24" w14:textId="77777777" w:rsidR="00631AB6" w:rsidRPr="005A62BD" w:rsidRDefault="00631AB6" w:rsidP="00AB2EF5">
            <w:pPr>
              <w:spacing w:after="0"/>
              <w:rPr>
                <w:b/>
              </w:rPr>
            </w:pPr>
          </w:p>
        </w:tc>
        <w:tc>
          <w:tcPr>
            <w:tcW w:w="0" w:type="auto"/>
            <w:gridSpan w:val="2"/>
          </w:tcPr>
          <w:p w14:paraId="3982E2F6" w14:textId="77777777" w:rsidR="00631AB6" w:rsidRPr="005A62BD" w:rsidRDefault="00631AB6" w:rsidP="00AB2EF5">
            <w:pPr>
              <w:spacing w:after="0"/>
              <w:rPr>
                <w:b/>
              </w:rPr>
            </w:pPr>
            <w:r w:rsidRPr="005A62BD">
              <w:rPr>
                <w:b/>
              </w:rPr>
              <w:t>Age 30-34</w:t>
            </w:r>
          </w:p>
        </w:tc>
        <w:tc>
          <w:tcPr>
            <w:tcW w:w="0" w:type="auto"/>
            <w:gridSpan w:val="2"/>
          </w:tcPr>
          <w:p w14:paraId="6D49CD02" w14:textId="77777777" w:rsidR="00631AB6" w:rsidRPr="005A62BD" w:rsidRDefault="00631AB6" w:rsidP="00AB2EF5">
            <w:pPr>
              <w:spacing w:after="0"/>
              <w:rPr>
                <w:b/>
              </w:rPr>
            </w:pPr>
            <w:r w:rsidRPr="005A62BD">
              <w:rPr>
                <w:b/>
              </w:rPr>
              <w:t>Age 30-39</w:t>
            </w:r>
          </w:p>
        </w:tc>
      </w:tr>
      <w:tr w:rsidR="00631AB6" w:rsidRPr="005A62BD" w14:paraId="556C63DF" w14:textId="77777777" w:rsidTr="003D3619">
        <w:tc>
          <w:tcPr>
            <w:tcW w:w="0" w:type="auto"/>
          </w:tcPr>
          <w:p w14:paraId="2461C6C3" w14:textId="77777777" w:rsidR="00631AB6" w:rsidRPr="005A62BD" w:rsidRDefault="00631AB6" w:rsidP="00AB2EF5">
            <w:pPr>
              <w:spacing w:after="0"/>
              <w:rPr>
                <w:b/>
              </w:rPr>
            </w:pPr>
          </w:p>
        </w:tc>
        <w:tc>
          <w:tcPr>
            <w:tcW w:w="0" w:type="auto"/>
          </w:tcPr>
          <w:p w14:paraId="5612EE05" w14:textId="77777777" w:rsidR="00631AB6" w:rsidRPr="005A62BD" w:rsidRDefault="00631AB6" w:rsidP="00AB2EF5">
            <w:pPr>
              <w:spacing w:after="0"/>
            </w:pPr>
            <w:r w:rsidRPr="005A62BD">
              <w:t>No activity ‘limitation’</w:t>
            </w:r>
          </w:p>
        </w:tc>
        <w:tc>
          <w:tcPr>
            <w:tcW w:w="0" w:type="auto"/>
          </w:tcPr>
          <w:p w14:paraId="2F422516" w14:textId="77777777" w:rsidR="00631AB6" w:rsidRPr="005A62BD" w:rsidRDefault="00631AB6" w:rsidP="00AB2EF5">
            <w:pPr>
              <w:spacing w:after="0"/>
            </w:pPr>
            <w:r w:rsidRPr="005A62BD">
              <w:t>Activity ‘limitation’</w:t>
            </w:r>
          </w:p>
        </w:tc>
        <w:tc>
          <w:tcPr>
            <w:tcW w:w="0" w:type="auto"/>
          </w:tcPr>
          <w:p w14:paraId="17958CB8" w14:textId="77777777" w:rsidR="00631AB6" w:rsidRPr="005A62BD" w:rsidRDefault="00631AB6" w:rsidP="00AB2EF5">
            <w:pPr>
              <w:spacing w:after="0"/>
            </w:pPr>
            <w:r w:rsidRPr="005A62BD">
              <w:t>No activity ‘limitation’</w:t>
            </w:r>
          </w:p>
        </w:tc>
        <w:tc>
          <w:tcPr>
            <w:tcW w:w="0" w:type="auto"/>
          </w:tcPr>
          <w:p w14:paraId="5F442C82" w14:textId="77777777" w:rsidR="00631AB6" w:rsidRPr="005A62BD" w:rsidRDefault="00631AB6" w:rsidP="00AB2EF5">
            <w:pPr>
              <w:spacing w:after="0"/>
            </w:pPr>
            <w:r w:rsidRPr="005A62BD">
              <w:t>Activity ‘limitation’</w:t>
            </w:r>
          </w:p>
        </w:tc>
      </w:tr>
      <w:tr w:rsidR="00631AB6" w:rsidRPr="005A62BD" w14:paraId="5C77E96A" w14:textId="77777777" w:rsidTr="003D3619">
        <w:tc>
          <w:tcPr>
            <w:tcW w:w="0" w:type="auto"/>
          </w:tcPr>
          <w:p w14:paraId="3A404A63" w14:textId="77777777" w:rsidR="00631AB6" w:rsidRPr="005A62BD" w:rsidRDefault="00631AB6" w:rsidP="00AB2EF5">
            <w:pPr>
              <w:spacing w:after="0"/>
              <w:rPr>
                <w:b/>
              </w:rPr>
            </w:pPr>
            <w:r w:rsidRPr="005A62BD">
              <w:rPr>
                <w:b/>
              </w:rPr>
              <w:t>EU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7292C7" w14:textId="77777777" w:rsidR="00631AB6" w:rsidRPr="005A62BD" w:rsidRDefault="00631AB6" w:rsidP="00AB2EF5">
            <w:pPr>
              <w:tabs>
                <w:tab w:val="center" w:pos="898"/>
                <w:tab w:val="right" w:pos="1797"/>
              </w:tabs>
              <w:spacing w:after="0"/>
            </w:pPr>
            <w:r w:rsidRPr="005A62BD">
              <w:t>23,233</w:t>
            </w:r>
          </w:p>
        </w:tc>
        <w:tc>
          <w:tcPr>
            <w:tcW w:w="0" w:type="auto"/>
            <w:tcBorders>
              <w:top w:val="single" w:sz="4" w:space="0" w:color="auto"/>
              <w:left w:val="nil"/>
              <w:bottom w:val="single" w:sz="4" w:space="0" w:color="auto"/>
              <w:right w:val="single" w:sz="4" w:space="0" w:color="auto"/>
            </w:tcBorders>
            <w:shd w:val="clear" w:color="auto" w:fill="auto"/>
            <w:vAlign w:val="bottom"/>
          </w:tcPr>
          <w:p w14:paraId="7975BBD3" w14:textId="77777777" w:rsidR="00631AB6" w:rsidRPr="005A62BD" w:rsidRDefault="00631AB6" w:rsidP="00AB2EF5">
            <w:pPr>
              <w:spacing w:after="0"/>
            </w:pPr>
            <w:r w:rsidRPr="005A62BD">
              <w:t>2,793</w:t>
            </w:r>
          </w:p>
        </w:tc>
        <w:tc>
          <w:tcPr>
            <w:tcW w:w="0" w:type="auto"/>
            <w:tcBorders>
              <w:top w:val="single" w:sz="4" w:space="0" w:color="auto"/>
              <w:left w:val="nil"/>
              <w:bottom w:val="single" w:sz="4" w:space="0" w:color="auto"/>
              <w:right w:val="single" w:sz="4" w:space="0" w:color="auto"/>
            </w:tcBorders>
            <w:shd w:val="clear" w:color="auto" w:fill="auto"/>
            <w:vAlign w:val="bottom"/>
          </w:tcPr>
          <w:p w14:paraId="34B37E32" w14:textId="77777777" w:rsidR="00631AB6" w:rsidRPr="005A62BD" w:rsidRDefault="00631AB6" w:rsidP="00AB2EF5">
            <w:pPr>
              <w:spacing w:after="0"/>
            </w:pPr>
            <w:r w:rsidRPr="005A62BD">
              <w:t>49,559</w:t>
            </w:r>
          </w:p>
        </w:tc>
        <w:tc>
          <w:tcPr>
            <w:tcW w:w="0" w:type="auto"/>
            <w:tcBorders>
              <w:top w:val="single" w:sz="4" w:space="0" w:color="auto"/>
              <w:left w:val="nil"/>
              <w:bottom w:val="single" w:sz="4" w:space="0" w:color="auto"/>
              <w:right w:val="single" w:sz="4" w:space="0" w:color="auto"/>
            </w:tcBorders>
            <w:shd w:val="clear" w:color="auto" w:fill="auto"/>
            <w:vAlign w:val="bottom"/>
          </w:tcPr>
          <w:p w14:paraId="64FD1768" w14:textId="77777777" w:rsidR="00631AB6" w:rsidRPr="005A62BD" w:rsidRDefault="00631AB6" w:rsidP="00AB2EF5">
            <w:pPr>
              <w:spacing w:after="0"/>
            </w:pPr>
            <w:r w:rsidRPr="005A62BD">
              <w:t>6,572</w:t>
            </w:r>
          </w:p>
        </w:tc>
      </w:tr>
      <w:tr w:rsidR="00631AB6" w:rsidRPr="005A62BD" w14:paraId="1B184100" w14:textId="77777777" w:rsidTr="003D3619">
        <w:tc>
          <w:tcPr>
            <w:tcW w:w="0" w:type="auto"/>
          </w:tcPr>
          <w:p w14:paraId="7F427247" w14:textId="77777777" w:rsidR="00631AB6" w:rsidRPr="005A62BD" w:rsidRDefault="00631AB6" w:rsidP="00AB2EF5">
            <w:pPr>
              <w:spacing w:after="0"/>
              <w:rPr>
                <w:b/>
              </w:rPr>
            </w:pPr>
            <w:r w:rsidRPr="005A62BD">
              <w:rPr>
                <w:b/>
              </w:rPr>
              <w:lastRenderedPageBreak/>
              <w:t>National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2707C7" w14:textId="77777777" w:rsidR="00631AB6" w:rsidRPr="005A62BD" w:rsidRDefault="00631AB6" w:rsidP="00AB2EF5">
            <w:pPr>
              <w:spacing w:after="0"/>
            </w:pPr>
            <w:r w:rsidRPr="005A62BD">
              <w:t>879</w:t>
            </w:r>
          </w:p>
        </w:tc>
        <w:tc>
          <w:tcPr>
            <w:tcW w:w="0" w:type="auto"/>
            <w:tcBorders>
              <w:top w:val="single" w:sz="4" w:space="0" w:color="auto"/>
              <w:left w:val="nil"/>
              <w:bottom w:val="single" w:sz="4" w:space="0" w:color="auto"/>
              <w:right w:val="single" w:sz="4" w:space="0" w:color="auto"/>
            </w:tcBorders>
            <w:shd w:val="clear" w:color="auto" w:fill="auto"/>
            <w:vAlign w:val="bottom"/>
          </w:tcPr>
          <w:p w14:paraId="7B622C0A" w14:textId="77777777" w:rsidR="00631AB6" w:rsidRPr="005A62BD" w:rsidRDefault="00631AB6" w:rsidP="00AB2EF5">
            <w:pPr>
              <w:spacing w:after="0"/>
            </w:pPr>
            <w:r w:rsidRPr="005A62BD">
              <w:t>116</w:t>
            </w:r>
          </w:p>
        </w:tc>
        <w:tc>
          <w:tcPr>
            <w:tcW w:w="0" w:type="auto"/>
            <w:tcBorders>
              <w:top w:val="single" w:sz="4" w:space="0" w:color="auto"/>
              <w:left w:val="nil"/>
              <w:bottom w:val="single" w:sz="4" w:space="0" w:color="auto"/>
              <w:right w:val="single" w:sz="4" w:space="0" w:color="auto"/>
            </w:tcBorders>
            <w:shd w:val="clear" w:color="auto" w:fill="auto"/>
            <w:vAlign w:val="bottom"/>
          </w:tcPr>
          <w:p w14:paraId="0040782B" w14:textId="77777777" w:rsidR="00631AB6" w:rsidRPr="005A62BD" w:rsidRDefault="00631AB6" w:rsidP="00AB2EF5">
            <w:pPr>
              <w:spacing w:after="0"/>
            </w:pPr>
            <w:r w:rsidRPr="005A62BD">
              <w:t>1,865</w:t>
            </w:r>
          </w:p>
        </w:tc>
        <w:tc>
          <w:tcPr>
            <w:tcW w:w="0" w:type="auto"/>
            <w:tcBorders>
              <w:top w:val="single" w:sz="4" w:space="0" w:color="auto"/>
              <w:left w:val="nil"/>
              <w:bottom w:val="single" w:sz="4" w:space="0" w:color="auto"/>
              <w:right w:val="single" w:sz="4" w:space="0" w:color="auto"/>
            </w:tcBorders>
            <w:shd w:val="clear" w:color="auto" w:fill="auto"/>
            <w:vAlign w:val="bottom"/>
          </w:tcPr>
          <w:p w14:paraId="444EB8E7" w14:textId="77777777" w:rsidR="00631AB6" w:rsidRPr="005A62BD" w:rsidRDefault="00631AB6" w:rsidP="00AB2EF5">
            <w:pPr>
              <w:spacing w:after="0"/>
            </w:pPr>
            <w:r w:rsidRPr="005A62BD">
              <w:t>293</w:t>
            </w:r>
          </w:p>
        </w:tc>
      </w:tr>
    </w:tbl>
    <w:p w14:paraId="0C825F04" w14:textId="77777777" w:rsidR="00631AB6" w:rsidRPr="005A62BD" w:rsidRDefault="00631AB6"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0083D0E8" w14:textId="77777777" w:rsidR="00631AB6" w:rsidRPr="005A62BD" w:rsidRDefault="00631AB6" w:rsidP="00AB2EF5">
      <w:pPr>
        <w:spacing w:after="0"/>
        <w:rPr>
          <w:lang w:eastAsia="en-GB"/>
        </w:rPr>
      </w:pPr>
    </w:p>
    <w:p w14:paraId="5BF20D73" w14:textId="77777777" w:rsidR="00631AB6" w:rsidRPr="005A62BD" w:rsidRDefault="00631AB6"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15</w:t>
      </w:r>
      <w:r w:rsidR="00AB2EF5" w:rsidRPr="005A62BD">
        <w:rPr>
          <w:noProof/>
          <w:sz w:val="24"/>
          <w:szCs w:val="24"/>
        </w:rPr>
        <w:fldChar w:fldCharType="end"/>
      </w:r>
      <w:r w:rsidRPr="005A62BD">
        <w:rPr>
          <w:sz w:val="24"/>
          <w:szCs w:val="24"/>
        </w:rPr>
        <w:t xml:space="preserve">: </w:t>
      </w:r>
      <w:r w:rsidRPr="005A62BD">
        <w:rPr>
          <w:noProof/>
          <w:sz w:val="24"/>
          <w:szCs w:val="24"/>
        </w:rPr>
        <w:t>Completion of tertiary or equivalent education (indicative based on above sample)</w:t>
      </w:r>
    </w:p>
    <w:p w14:paraId="6FFAE551" w14:textId="77777777" w:rsidR="00631AB6" w:rsidRPr="005A62BD" w:rsidRDefault="00631AB6" w:rsidP="00AB2EF5">
      <w:pPr>
        <w:spacing w:after="0"/>
      </w:pPr>
      <w:r w:rsidRPr="005A62BD">
        <w:rPr>
          <w:noProof/>
          <w:lang w:eastAsia="zh-CN"/>
        </w:rPr>
        <w:drawing>
          <wp:inline distT="0" distB="0" distL="0" distR="0" wp14:anchorId="724D5566" wp14:editId="1BD22C48">
            <wp:extent cx="5486400" cy="2364059"/>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3C595A" w14:textId="77777777" w:rsidR="00631AB6" w:rsidRPr="005A62BD" w:rsidRDefault="00631AB6" w:rsidP="00D73FC4">
      <w:pPr>
        <w:pStyle w:val="Sourcereference"/>
        <w:spacing w:after="0"/>
        <w:jc w:val="both"/>
        <w:rPr>
          <w:sz w:val="24"/>
          <w:lang w:eastAsia="en-GB"/>
        </w:rPr>
      </w:pPr>
      <w:r w:rsidRPr="005A62BD">
        <w:rPr>
          <w:sz w:val="24"/>
        </w:rPr>
        <w:t xml:space="preserve">Source: </w:t>
      </w:r>
      <w:r w:rsidRPr="005A62BD">
        <w:rPr>
          <w:sz w:val="24"/>
          <w:lang w:eastAsia="en-GB"/>
        </w:rPr>
        <w:t>EUSILC UDB 2015 – version of October 2017</w:t>
      </w:r>
    </w:p>
    <w:p w14:paraId="30794FF9" w14:textId="6D7BE7E0" w:rsidR="003645CD" w:rsidRPr="005A62BD" w:rsidRDefault="003645CD" w:rsidP="00D73FC4">
      <w:pPr>
        <w:pStyle w:val="Sourcereference"/>
        <w:spacing w:after="0"/>
        <w:jc w:val="both"/>
        <w:rPr>
          <w:sz w:val="24"/>
          <w:lang w:eastAsia="en-GB"/>
        </w:rPr>
      </w:pPr>
    </w:p>
    <w:p w14:paraId="313C8E2A" w14:textId="14EF4464" w:rsidR="00631AB6" w:rsidRPr="005A62BD" w:rsidRDefault="00631AB6" w:rsidP="00D73FC4">
      <w:pPr>
        <w:pStyle w:val="BodyText"/>
        <w:spacing w:after="0"/>
        <w:jc w:val="both"/>
      </w:pPr>
      <w:r w:rsidRPr="005A62BD">
        <w:t>The survey sample is not sufficient to provide robust trend data disaggregated by gender in the narrow EU2020 target age group. In general</w:t>
      </w:r>
      <w:r w:rsidR="003B54BB">
        <w:t>,</w:t>
      </w:r>
      <w:r w:rsidRPr="005A62BD">
        <w:t xml:space="preserve"> the achievement of tertiary education was higher for women than for men in both disabled and non-disabled groups.</w:t>
      </w:r>
    </w:p>
    <w:p w14:paraId="7B26AB22" w14:textId="77777777" w:rsidR="00631AB6" w:rsidRPr="005A62BD" w:rsidRDefault="00631AB6" w:rsidP="00AB2EF5">
      <w:pPr>
        <w:pStyle w:val="Caption"/>
        <w:keepNext/>
        <w:spacing w:after="0"/>
        <w:rPr>
          <w:sz w:val="24"/>
          <w:szCs w:val="24"/>
        </w:rPr>
      </w:pPr>
      <w:r w:rsidRPr="005A62BD">
        <w:rPr>
          <w:sz w:val="24"/>
          <w:szCs w:val="24"/>
        </w:rPr>
        <w:lastRenderedPageBreak/>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16</w:t>
      </w:r>
      <w:r w:rsidR="00AB2EF5" w:rsidRPr="005A62BD">
        <w:rPr>
          <w:noProof/>
          <w:sz w:val="24"/>
          <w:szCs w:val="24"/>
        </w:rPr>
        <w:fldChar w:fldCharType="end"/>
      </w:r>
      <w:r w:rsidRPr="005A62BD">
        <w:rPr>
          <w:sz w:val="24"/>
          <w:szCs w:val="24"/>
        </w:rPr>
        <w:t>: Trends in tertiary education by disability (aged 30-34)</w:t>
      </w:r>
    </w:p>
    <w:p w14:paraId="15803B4E" w14:textId="77777777" w:rsidR="00631AB6" w:rsidRPr="005A62BD" w:rsidRDefault="00631AB6" w:rsidP="00AB2EF5">
      <w:pPr>
        <w:spacing w:after="0"/>
      </w:pPr>
      <w:r w:rsidRPr="005A62BD">
        <w:rPr>
          <w:noProof/>
          <w:lang w:eastAsia="zh-CN"/>
        </w:rPr>
        <w:drawing>
          <wp:inline distT="0" distB="0" distL="0" distR="0" wp14:anchorId="68F9944E" wp14:editId="49BB5F7C">
            <wp:extent cx="5486400" cy="3980329"/>
            <wp:effectExtent l="0" t="0" r="0" b="12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6FCDDD" w14:textId="121C0B94" w:rsidR="00631AB6" w:rsidRDefault="00631AB6" w:rsidP="00D73FC4">
      <w:pPr>
        <w:pStyle w:val="Sourcereference"/>
        <w:spacing w:after="0"/>
        <w:jc w:val="both"/>
        <w:rPr>
          <w:sz w:val="24"/>
          <w:lang w:eastAsia="en-GB"/>
        </w:rPr>
      </w:pPr>
      <w:r w:rsidRPr="005A62BD">
        <w:rPr>
          <w:sz w:val="24"/>
        </w:rPr>
        <w:t xml:space="preserve">Source: </w:t>
      </w:r>
      <w:r w:rsidRPr="005A62BD">
        <w:rPr>
          <w:sz w:val="24"/>
          <w:lang w:eastAsia="en-GB"/>
        </w:rPr>
        <w:t>EUSILC UDB 2015 – version of October 2017 (and preceding UDBs)</w:t>
      </w:r>
    </w:p>
    <w:p w14:paraId="58F4E1E3" w14:textId="77777777" w:rsidR="005A62BD" w:rsidRPr="005A62BD" w:rsidRDefault="005A62BD" w:rsidP="00D73FC4">
      <w:pPr>
        <w:pStyle w:val="Sourcereference"/>
        <w:spacing w:after="0"/>
        <w:jc w:val="both"/>
        <w:rPr>
          <w:sz w:val="24"/>
          <w:lang w:eastAsia="en-GB"/>
        </w:rPr>
      </w:pPr>
    </w:p>
    <w:p w14:paraId="41B8182D" w14:textId="64B64F90" w:rsidR="00A11B34" w:rsidRPr="005A62BD" w:rsidRDefault="00631AB6" w:rsidP="00D73FC4">
      <w:pPr>
        <w:pStyle w:val="Sourcereference"/>
        <w:spacing w:after="0"/>
        <w:jc w:val="both"/>
        <w:rPr>
          <w:sz w:val="24"/>
        </w:rPr>
      </w:pPr>
      <w:r w:rsidRPr="005A62BD">
        <w:rPr>
          <w:sz w:val="24"/>
          <w:lang w:eastAsia="en-GB"/>
        </w:rPr>
        <w:t>Fluctuations in trends for people with impairments should be treated with caution at the national level. A linear trend line is shown for illustration only (the rapid upward trend merits further investigation</w:t>
      </w:r>
      <w:r w:rsidR="00006E00" w:rsidRPr="005A62BD">
        <w:rPr>
          <w:sz w:val="24"/>
          <w:lang w:eastAsia="en-GB"/>
        </w:rPr>
        <w:t xml:space="preserve">, for example in relation to </w:t>
      </w:r>
      <w:r w:rsidR="00006E00" w:rsidRPr="005A62BD">
        <w:rPr>
          <w:sz w:val="24"/>
        </w:rPr>
        <w:t>changes in ISCED qualification definitions</w:t>
      </w:r>
      <w:r w:rsidR="00006E00" w:rsidRPr="005A62BD">
        <w:rPr>
          <w:sz w:val="24"/>
          <w:lang w:eastAsia="en-GB"/>
        </w:rPr>
        <w:t>)</w:t>
      </w:r>
      <w:r w:rsidRPr="005A62BD">
        <w:rPr>
          <w:sz w:val="24"/>
        </w:rPr>
        <w:t>.</w:t>
      </w:r>
    </w:p>
    <w:p w14:paraId="5EB5A8D9" w14:textId="77777777" w:rsidR="00230AC7" w:rsidRPr="005A62BD" w:rsidRDefault="00230AC7" w:rsidP="00D73FC4">
      <w:pPr>
        <w:pStyle w:val="BodyText"/>
        <w:spacing w:after="0"/>
        <w:jc w:val="both"/>
      </w:pPr>
    </w:p>
    <w:p w14:paraId="4E846012" w14:textId="77777777" w:rsidR="00EA5FB9" w:rsidRPr="005A62BD" w:rsidRDefault="00EA5FB9" w:rsidP="00D73FC4">
      <w:pPr>
        <w:pStyle w:val="Un-numberedsubheading"/>
        <w:spacing w:after="0"/>
        <w:jc w:val="both"/>
      </w:pPr>
      <w:r w:rsidRPr="005A62BD">
        <w:t>Alternative data on disability and tertiary education provided by the national expert:</w:t>
      </w:r>
    </w:p>
    <w:p w14:paraId="476677B1" w14:textId="77777777" w:rsidR="003C390B" w:rsidRPr="005A62BD" w:rsidRDefault="003C390B" w:rsidP="00D73FC4">
      <w:pPr>
        <w:pStyle w:val="Un-numberedsubheading"/>
        <w:spacing w:after="0"/>
        <w:jc w:val="both"/>
      </w:pPr>
    </w:p>
    <w:p w14:paraId="11CF701E" w14:textId="655AF86E" w:rsidR="00321FD5" w:rsidRPr="005A62BD" w:rsidRDefault="00321FD5" w:rsidP="00D73FC4">
      <w:pPr>
        <w:spacing w:after="0"/>
        <w:jc w:val="both"/>
      </w:pPr>
      <w:r w:rsidRPr="005A62BD">
        <w:t>The</w:t>
      </w:r>
      <w:r w:rsidR="00556DD1" w:rsidRPr="005A62BD">
        <w:t xml:space="preserve"> following</w:t>
      </w:r>
      <w:r w:rsidRPr="005A62BD">
        <w:t xml:space="preserve"> national </w:t>
      </w:r>
      <w:r w:rsidR="007D2524" w:rsidRPr="005A62BD">
        <w:t xml:space="preserve">LFS </w:t>
      </w:r>
      <w:r w:rsidRPr="005A62BD">
        <w:t xml:space="preserve">data on </w:t>
      </w:r>
      <w:r w:rsidR="003B54BB" w:rsidRPr="005A62BD">
        <w:t>30-39-year-olds</w:t>
      </w:r>
      <w:r w:rsidR="009633FF" w:rsidRPr="005A62BD">
        <w:t xml:space="preserve"> with disability and tertiary education disaggregated by economic status </w:t>
      </w:r>
      <w:r w:rsidRPr="005A62BD">
        <w:t xml:space="preserve">have been provided on </w:t>
      </w:r>
      <w:r w:rsidR="007D2524" w:rsidRPr="005A62BD">
        <w:t xml:space="preserve">the </w:t>
      </w:r>
      <w:r w:rsidRPr="005A62BD">
        <w:t xml:space="preserve">special request </w:t>
      </w:r>
      <w:r w:rsidR="00DF310E" w:rsidRPr="005A62BD">
        <w:t xml:space="preserve">on October 2016 </w:t>
      </w:r>
      <w:r w:rsidR="009633FF" w:rsidRPr="005A62BD">
        <w:t>by the Statistical Office of the Slovak Republic.</w:t>
      </w:r>
    </w:p>
    <w:p w14:paraId="5E0CD99B" w14:textId="77777777" w:rsidR="00321FD5" w:rsidRPr="005A62BD" w:rsidRDefault="00321FD5" w:rsidP="00AB2EF5">
      <w:pPr>
        <w:spacing w:after="0"/>
      </w:pPr>
    </w:p>
    <w:p w14:paraId="2E04FDAE" w14:textId="77777777" w:rsidR="005F304D" w:rsidRPr="005A62BD" w:rsidRDefault="00556DD1" w:rsidP="00AB2EF5">
      <w:pPr>
        <w:spacing w:after="0"/>
        <w:rPr>
          <w:b/>
          <w:bCs/>
        </w:rPr>
      </w:pPr>
      <w:r w:rsidRPr="005A62BD">
        <w:rPr>
          <w:b/>
          <w:bCs/>
        </w:rPr>
        <w:br w:type="page"/>
      </w:r>
    </w:p>
    <w:p w14:paraId="04A438CE" w14:textId="333B97F1" w:rsidR="00D555A8" w:rsidRPr="005A62BD" w:rsidRDefault="00D555A8" w:rsidP="00AB2EF5">
      <w:pPr>
        <w:spacing w:after="0"/>
        <w:rPr>
          <w:b/>
          <w:bCs/>
        </w:rPr>
      </w:pPr>
      <w:r w:rsidRPr="005A62BD">
        <w:rPr>
          <w:b/>
          <w:bCs/>
        </w:rPr>
        <w:lastRenderedPageBreak/>
        <w:t xml:space="preserve">Table: </w:t>
      </w:r>
      <w:proofErr w:type="spellStart"/>
      <w:r w:rsidRPr="005A62BD">
        <w:rPr>
          <w:b/>
          <w:bCs/>
        </w:rPr>
        <w:t>PwD</w:t>
      </w:r>
      <w:proofErr w:type="spellEnd"/>
      <w:r w:rsidRPr="005A62BD">
        <w:rPr>
          <w:b/>
          <w:bCs/>
        </w:rPr>
        <w:t xml:space="preserve"> aged 30-39 with tertiary education </w:t>
      </w:r>
      <w:r w:rsidR="00FF228A" w:rsidRPr="005A62BD">
        <w:rPr>
          <w:b/>
          <w:bCs/>
        </w:rPr>
        <w:t xml:space="preserve">by economic status </w:t>
      </w:r>
      <w:r w:rsidRPr="005A62BD">
        <w:rPr>
          <w:b/>
          <w:bCs/>
        </w:rPr>
        <w:t>(%)</w:t>
      </w:r>
      <w:r w:rsidRPr="005A62BD">
        <w:rPr>
          <w:rStyle w:val="FootnoteReference"/>
          <w:b/>
          <w:bCs/>
        </w:rPr>
        <w:footnoteReference w:id="14"/>
      </w:r>
    </w:p>
    <w:tbl>
      <w:tblPr>
        <w:tblW w:w="3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736"/>
        <w:gridCol w:w="1548"/>
        <w:gridCol w:w="1596"/>
      </w:tblGrid>
      <w:tr w:rsidR="00D555A8" w:rsidRPr="005A62BD" w14:paraId="2E67518D" w14:textId="467694B5" w:rsidTr="00D555A8">
        <w:trPr>
          <w:trHeight w:val="300"/>
        </w:trPr>
        <w:tc>
          <w:tcPr>
            <w:tcW w:w="1090" w:type="pct"/>
            <w:shd w:val="clear" w:color="auto" w:fill="auto"/>
            <w:noWrap/>
            <w:vAlign w:val="center"/>
            <w:hideMark/>
          </w:tcPr>
          <w:p w14:paraId="0C6B50E7" w14:textId="77777777" w:rsidR="00D555A8" w:rsidRPr="005A62BD" w:rsidRDefault="00D555A8" w:rsidP="00AB2EF5">
            <w:pPr>
              <w:spacing w:after="0"/>
              <w:rPr>
                <w:rFonts w:eastAsia="Times New Roman"/>
                <w:b/>
                <w:lang w:eastAsia="sk-SK"/>
              </w:rPr>
            </w:pPr>
            <w:r w:rsidRPr="005A62BD">
              <w:rPr>
                <w:rFonts w:eastAsia="Times New Roman"/>
                <w:b/>
                <w:lang w:eastAsia="sk-SK"/>
              </w:rPr>
              <w:t>LFS</w:t>
            </w:r>
          </w:p>
        </w:tc>
        <w:tc>
          <w:tcPr>
            <w:tcW w:w="1391" w:type="pct"/>
            <w:shd w:val="clear" w:color="auto" w:fill="auto"/>
            <w:noWrap/>
            <w:vAlign w:val="center"/>
            <w:hideMark/>
          </w:tcPr>
          <w:p w14:paraId="0C0B73D4" w14:textId="345379D1" w:rsidR="00D555A8" w:rsidRPr="005A62BD" w:rsidRDefault="00D555A8" w:rsidP="00AB2EF5">
            <w:pPr>
              <w:spacing w:after="0"/>
              <w:rPr>
                <w:rFonts w:eastAsia="Times New Roman"/>
                <w:b/>
                <w:lang w:eastAsia="sk-SK"/>
              </w:rPr>
            </w:pPr>
            <w:r w:rsidRPr="005A62BD">
              <w:rPr>
                <w:b/>
                <w:bCs/>
              </w:rPr>
              <w:t xml:space="preserve">Economically active </w:t>
            </w:r>
          </w:p>
        </w:tc>
        <w:tc>
          <w:tcPr>
            <w:tcW w:w="1240" w:type="pct"/>
            <w:vAlign w:val="center"/>
          </w:tcPr>
          <w:p w14:paraId="7CEC217C" w14:textId="1284842D" w:rsidR="00D555A8" w:rsidRPr="005A62BD" w:rsidRDefault="00D555A8" w:rsidP="00AB2EF5">
            <w:pPr>
              <w:spacing w:after="0"/>
              <w:rPr>
                <w:b/>
                <w:bCs/>
              </w:rPr>
            </w:pPr>
            <w:r w:rsidRPr="005A62BD">
              <w:rPr>
                <w:b/>
                <w:bCs/>
              </w:rPr>
              <w:t>Employed</w:t>
            </w:r>
          </w:p>
        </w:tc>
        <w:tc>
          <w:tcPr>
            <w:tcW w:w="1279" w:type="pct"/>
            <w:vAlign w:val="center"/>
          </w:tcPr>
          <w:p w14:paraId="4E33BF51" w14:textId="4D22982F" w:rsidR="00D555A8" w:rsidRPr="005A62BD" w:rsidRDefault="00D555A8" w:rsidP="00AB2EF5">
            <w:pPr>
              <w:spacing w:after="0"/>
              <w:rPr>
                <w:b/>
                <w:bCs/>
              </w:rPr>
            </w:pPr>
            <w:r w:rsidRPr="005A62BD">
              <w:rPr>
                <w:b/>
                <w:bCs/>
              </w:rPr>
              <w:t>Unemployed</w:t>
            </w:r>
          </w:p>
        </w:tc>
      </w:tr>
      <w:tr w:rsidR="00D555A8" w:rsidRPr="005A62BD" w14:paraId="3F7D69EE" w14:textId="323F5EEB" w:rsidTr="00D555A8">
        <w:trPr>
          <w:trHeight w:val="300"/>
        </w:trPr>
        <w:tc>
          <w:tcPr>
            <w:tcW w:w="1090" w:type="pct"/>
            <w:shd w:val="clear" w:color="auto" w:fill="auto"/>
            <w:noWrap/>
            <w:vAlign w:val="center"/>
            <w:hideMark/>
          </w:tcPr>
          <w:p w14:paraId="4CB05747" w14:textId="77777777" w:rsidR="00D555A8" w:rsidRPr="005A62BD" w:rsidRDefault="00D555A8" w:rsidP="00AB2EF5">
            <w:pPr>
              <w:spacing w:after="0"/>
              <w:rPr>
                <w:rFonts w:eastAsia="Times New Roman"/>
                <w:lang w:eastAsia="sk-SK"/>
              </w:rPr>
            </w:pPr>
            <w:r w:rsidRPr="005A62BD">
              <w:rPr>
                <w:rFonts w:eastAsia="Times New Roman"/>
                <w:lang w:eastAsia="sk-SK"/>
              </w:rPr>
              <w:t>2012</w:t>
            </w:r>
          </w:p>
        </w:tc>
        <w:tc>
          <w:tcPr>
            <w:tcW w:w="1391" w:type="pct"/>
            <w:shd w:val="clear" w:color="auto" w:fill="auto"/>
            <w:noWrap/>
            <w:vAlign w:val="center"/>
            <w:hideMark/>
          </w:tcPr>
          <w:p w14:paraId="24111C75" w14:textId="01750D4A" w:rsidR="00D555A8" w:rsidRPr="005A62BD" w:rsidRDefault="00D555A8" w:rsidP="00AB2EF5">
            <w:pPr>
              <w:spacing w:after="0"/>
              <w:rPr>
                <w:rFonts w:eastAsia="Times New Roman"/>
                <w:lang w:eastAsia="sk-SK"/>
              </w:rPr>
            </w:pPr>
            <w:r w:rsidRPr="005A62BD">
              <w:rPr>
                <w:rFonts w:eastAsia="Times New Roman"/>
                <w:lang w:eastAsia="sk-SK"/>
              </w:rPr>
              <w:t>1,5</w:t>
            </w:r>
          </w:p>
        </w:tc>
        <w:tc>
          <w:tcPr>
            <w:tcW w:w="1240" w:type="pct"/>
            <w:vAlign w:val="center"/>
          </w:tcPr>
          <w:p w14:paraId="2AEF9B59" w14:textId="6EF2E7D1" w:rsidR="00D555A8" w:rsidRPr="005A62BD" w:rsidRDefault="00D555A8" w:rsidP="00AB2EF5">
            <w:pPr>
              <w:spacing w:after="0"/>
              <w:rPr>
                <w:rFonts w:eastAsia="Times New Roman"/>
                <w:lang w:eastAsia="sk-SK"/>
              </w:rPr>
            </w:pPr>
            <w:r w:rsidRPr="005A62BD">
              <w:rPr>
                <w:rFonts w:eastAsia="Times New Roman"/>
                <w:lang w:eastAsia="sk-SK"/>
              </w:rPr>
              <w:t>1,7</w:t>
            </w:r>
          </w:p>
        </w:tc>
        <w:tc>
          <w:tcPr>
            <w:tcW w:w="1279" w:type="pct"/>
            <w:vAlign w:val="center"/>
          </w:tcPr>
          <w:p w14:paraId="442924B4" w14:textId="4BD6736D" w:rsidR="00D555A8" w:rsidRPr="005A62BD" w:rsidRDefault="00D555A8" w:rsidP="00AB2EF5">
            <w:pPr>
              <w:spacing w:after="0"/>
              <w:rPr>
                <w:rFonts w:eastAsia="Times New Roman"/>
                <w:lang w:eastAsia="sk-SK"/>
              </w:rPr>
            </w:pPr>
            <w:r w:rsidRPr="005A62BD">
              <w:rPr>
                <w:rFonts w:eastAsia="Times New Roman"/>
                <w:lang w:eastAsia="sk-SK"/>
              </w:rPr>
              <w:t>0,7</w:t>
            </w:r>
          </w:p>
        </w:tc>
      </w:tr>
      <w:tr w:rsidR="00D555A8" w:rsidRPr="005A62BD" w14:paraId="5A7D80C6" w14:textId="7971E43B" w:rsidTr="00D555A8">
        <w:trPr>
          <w:trHeight w:val="300"/>
        </w:trPr>
        <w:tc>
          <w:tcPr>
            <w:tcW w:w="1090" w:type="pct"/>
            <w:shd w:val="clear" w:color="auto" w:fill="auto"/>
            <w:noWrap/>
            <w:vAlign w:val="center"/>
            <w:hideMark/>
          </w:tcPr>
          <w:p w14:paraId="4955967E" w14:textId="77777777" w:rsidR="00D555A8" w:rsidRPr="005A62BD" w:rsidRDefault="00D555A8" w:rsidP="00AB2EF5">
            <w:pPr>
              <w:spacing w:after="0"/>
              <w:rPr>
                <w:rFonts w:eastAsia="Times New Roman"/>
                <w:lang w:eastAsia="sk-SK"/>
              </w:rPr>
            </w:pPr>
            <w:r w:rsidRPr="005A62BD">
              <w:rPr>
                <w:rFonts w:eastAsia="Times New Roman"/>
                <w:lang w:eastAsia="sk-SK"/>
              </w:rPr>
              <w:t>2013</w:t>
            </w:r>
          </w:p>
        </w:tc>
        <w:tc>
          <w:tcPr>
            <w:tcW w:w="1391" w:type="pct"/>
            <w:shd w:val="clear" w:color="auto" w:fill="auto"/>
            <w:noWrap/>
            <w:vAlign w:val="center"/>
            <w:hideMark/>
          </w:tcPr>
          <w:p w14:paraId="737B411A" w14:textId="028B7281" w:rsidR="00D555A8" w:rsidRPr="005A62BD" w:rsidRDefault="00D555A8" w:rsidP="00AB2EF5">
            <w:pPr>
              <w:spacing w:after="0"/>
              <w:rPr>
                <w:rFonts w:eastAsia="Times New Roman"/>
                <w:lang w:eastAsia="sk-SK"/>
              </w:rPr>
            </w:pPr>
            <w:r w:rsidRPr="005A62BD">
              <w:rPr>
                <w:rFonts w:eastAsia="Times New Roman"/>
                <w:lang w:eastAsia="sk-SK"/>
              </w:rPr>
              <w:t>3,1</w:t>
            </w:r>
          </w:p>
        </w:tc>
        <w:tc>
          <w:tcPr>
            <w:tcW w:w="1240" w:type="pct"/>
            <w:vAlign w:val="center"/>
          </w:tcPr>
          <w:p w14:paraId="1577C17B" w14:textId="5D14B8F2" w:rsidR="00D555A8" w:rsidRPr="005A62BD" w:rsidRDefault="00D555A8" w:rsidP="00AB2EF5">
            <w:pPr>
              <w:spacing w:after="0"/>
              <w:rPr>
                <w:rFonts w:eastAsia="Times New Roman"/>
                <w:lang w:eastAsia="sk-SK"/>
              </w:rPr>
            </w:pPr>
            <w:r w:rsidRPr="005A62BD">
              <w:rPr>
                <w:rFonts w:eastAsia="Times New Roman"/>
                <w:lang w:eastAsia="sk-SK"/>
              </w:rPr>
              <w:t>2,9</w:t>
            </w:r>
          </w:p>
        </w:tc>
        <w:tc>
          <w:tcPr>
            <w:tcW w:w="1279" w:type="pct"/>
            <w:vAlign w:val="center"/>
          </w:tcPr>
          <w:p w14:paraId="214D9948" w14:textId="1E5914A9" w:rsidR="00D555A8" w:rsidRPr="005A62BD" w:rsidRDefault="00D555A8" w:rsidP="00AB2EF5">
            <w:pPr>
              <w:spacing w:after="0"/>
              <w:rPr>
                <w:rFonts w:eastAsia="Times New Roman"/>
                <w:lang w:eastAsia="sk-SK"/>
              </w:rPr>
            </w:pPr>
            <w:r w:rsidRPr="005A62BD">
              <w:rPr>
                <w:rFonts w:eastAsia="Times New Roman"/>
                <w:lang w:eastAsia="sk-SK"/>
              </w:rPr>
              <w:t>3,9</w:t>
            </w:r>
          </w:p>
        </w:tc>
      </w:tr>
      <w:tr w:rsidR="00D555A8" w:rsidRPr="005A62BD" w14:paraId="299D778E" w14:textId="38FE1DB9" w:rsidTr="00D555A8">
        <w:trPr>
          <w:trHeight w:val="300"/>
        </w:trPr>
        <w:tc>
          <w:tcPr>
            <w:tcW w:w="1090" w:type="pct"/>
            <w:shd w:val="clear" w:color="auto" w:fill="auto"/>
            <w:noWrap/>
            <w:vAlign w:val="center"/>
            <w:hideMark/>
          </w:tcPr>
          <w:p w14:paraId="1BC20F5D" w14:textId="77777777" w:rsidR="00D555A8" w:rsidRPr="005A62BD" w:rsidRDefault="00D555A8" w:rsidP="00AB2EF5">
            <w:pPr>
              <w:spacing w:after="0"/>
              <w:rPr>
                <w:rFonts w:eastAsia="Times New Roman"/>
                <w:lang w:eastAsia="sk-SK"/>
              </w:rPr>
            </w:pPr>
            <w:r w:rsidRPr="005A62BD">
              <w:rPr>
                <w:rFonts w:eastAsia="Times New Roman"/>
                <w:lang w:eastAsia="sk-SK"/>
              </w:rPr>
              <w:t>2014</w:t>
            </w:r>
          </w:p>
        </w:tc>
        <w:tc>
          <w:tcPr>
            <w:tcW w:w="1391" w:type="pct"/>
            <w:shd w:val="clear" w:color="auto" w:fill="auto"/>
            <w:noWrap/>
            <w:vAlign w:val="center"/>
            <w:hideMark/>
          </w:tcPr>
          <w:p w14:paraId="7ED417AE" w14:textId="3AB46F32" w:rsidR="00D555A8" w:rsidRPr="005A62BD" w:rsidRDefault="00D555A8" w:rsidP="00AB2EF5">
            <w:pPr>
              <w:spacing w:after="0"/>
              <w:rPr>
                <w:rFonts w:eastAsia="Times New Roman"/>
                <w:lang w:eastAsia="sk-SK"/>
              </w:rPr>
            </w:pPr>
            <w:r w:rsidRPr="005A62BD">
              <w:rPr>
                <w:rFonts w:eastAsia="Times New Roman"/>
                <w:lang w:eastAsia="sk-SK"/>
              </w:rPr>
              <w:t>7,0</w:t>
            </w:r>
          </w:p>
        </w:tc>
        <w:tc>
          <w:tcPr>
            <w:tcW w:w="1240" w:type="pct"/>
            <w:vAlign w:val="center"/>
          </w:tcPr>
          <w:p w14:paraId="5992A6D0" w14:textId="6E7C6C8A" w:rsidR="00D555A8" w:rsidRPr="005A62BD" w:rsidRDefault="00D555A8" w:rsidP="00AB2EF5">
            <w:pPr>
              <w:spacing w:after="0"/>
              <w:rPr>
                <w:rFonts w:eastAsia="Times New Roman"/>
                <w:lang w:eastAsia="sk-SK"/>
              </w:rPr>
            </w:pPr>
            <w:r w:rsidRPr="005A62BD">
              <w:rPr>
                <w:rFonts w:eastAsia="Times New Roman"/>
                <w:lang w:eastAsia="sk-SK"/>
              </w:rPr>
              <w:t>8,2</w:t>
            </w:r>
          </w:p>
        </w:tc>
        <w:tc>
          <w:tcPr>
            <w:tcW w:w="1279" w:type="pct"/>
            <w:vAlign w:val="center"/>
          </w:tcPr>
          <w:p w14:paraId="07C70F63" w14:textId="7E99FB5C" w:rsidR="00D555A8" w:rsidRPr="005A62BD" w:rsidRDefault="00D555A8" w:rsidP="00AB2EF5">
            <w:pPr>
              <w:spacing w:after="0"/>
              <w:rPr>
                <w:rFonts w:eastAsia="Times New Roman"/>
                <w:lang w:eastAsia="sk-SK"/>
              </w:rPr>
            </w:pPr>
            <w:r w:rsidRPr="005A62BD">
              <w:rPr>
                <w:rFonts w:eastAsia="Times New Roman"/>
                <w:lang w:eastAsia="sk-SK"/>
              </w:rPr>
              <w:t>2,1</w:t>
            </w:r>
          </w:p>
        </w:tc>
      </w:tr>
      <w:tr w:rsidR="00D555A8" w:rsidRPr="005A62BD" w14:paraId="3EF14831" w14:textId="7AA5FFE2" w:rsidTr="00D555A8">
        <w:trPr>
          <w:trHeight w:val="300"/>
        </w:trPr>
        <w:tc>
          <w:tcPr>
            <w:tcW w:w="1090" w:type="pct"/>
            <w:shd w:val="clear" w:color="auto" w:fill="auto"/>
            <w:noWrap/>
            <w:vAlign w:val="center"/>
          </w:tcPr>
          <w:p w14:paraId="5F7D2799" w14:textId="496B4F60" w:rsidR="00D555A8" w:rsidRPr="005A62BD" w:rsidRDefault="00D555A8" w:rsidP="00AB2EF5">
            <w:pPr>
              <w:spacing w:after="0"/>
              <w:rPr>
                <w:rFonts w:eastAsia="Times New Roman"/>
                <w:lang w:eastAsia="sk-SK"/>
              </w:rPr>
            </w:pPr>
            <w:r w:rsidRPr="005A62BD">
              <w:rPr>
                <w:rFonts w:eastAsia="Times New Roman"/>
                <w:lang w:eastAsia="sk-SK"/>
              </w:rPr>
              <w:t>2015</w:t>
            </w:r>
          </w:p>
        </w:tc>
        <w:tc>
          <w:tcPr>
            <w:tcW w:w="1391" w:type="pct"/>
            <w:shd w:val="clear" w:color="auto" w:fill="auto"/>
            <w:noWrap/>
            <w:vAlign w:val="center"/>
          </w:tcPr>
          <w:p w14:paraId="5F64F3FE" w14:textId="06D4587A" w:rsidR="00D555A8" w:rsidRPr="005A62BD" w:rsidRDefault="00D555A8" w:rsidP="00AB2EF5">
            <w:pPr>
              <w:spacing w:after="0"/>
              <w:rPr>
                <w:rFonts w:eastAsia="Times New Roman"/>
                <w:lang w:eastAsia="sk-SK"/>
              </w:rPr>
            </w:pPr>
            <w:r w:rsidRPr="005A62BD">
              <w:rPr>
                <w:rFonts w:eastAsia="Times New Roman"/>
                <w:lang w:eastAsia="sk-SK"/>
              </w:rPr>
              <w:t>3,8</w:t>
            </w:r>
          </w:p>
        </w:tc>
        <w:tc>
          <w:tcPr>
            <w:tcW w:w="1240" w:type="pct"/>
            <w:vAlign w:val="center"/>
          </w:tcPr>
          <w:p w14:paraId="77E8ECCD" w14:textId="4940DA7C" w:rsidR="00D555A8" w:rsidRPr="005A62BD" w:rsidRDefault="00D555A8" w:rsidP="00AB2EF5">
            <w:pPr>
              <w:spacing w:after="0"/>
              <w:rPr>
                <w:rFonts w:eastAsia="Times New Roman"/>
                <w:lang w:eastAsia="sk-SK"/>
              </w:rPr>
            </w:pPr>
            <w:r w:rsidRPr="005A62BD">
              <w:rPr>
                <w:rFonts w:eastAsia="Times New Roman"/>
                <w:lang w:eastAsia="sk-SK"/>
              </w:rPr>
              <w:t>4,4</w:t>
            </w:r>
          </w:p>
        </w:tc>
        <w:tc>
          <w:tcPr>
            <w:tcW w:w="1279" w:type="pct"/>
            <w:vAlign w:val="center"/>
          </w:tcPr>
          <w:p w14:paraId="4D5686C6" w14:textId="7DE302B4" w:rsidR="00D555A8" w:rsidRPr="005A62BD" w:rsidRDefault="00D555A8" w:rsidP="00AB2EF5">
            <w:pPr>
              <w:spacing w:after="0"/>
              <w:rPr>
                <w:rFonts w:eastAsia="Times New Roman"/>
                <w:lang w:eastAsia="sk-SK"/>
              </w:rPr>
            </w:pPr>
            <w:r w:rsidRPr="005A62BD">
              <w:rPr>
                <w:rFonts w:eastAsia="Times New Roman"/>
                <w:lang w:eastAsia="sk-SK"/>
              </w:rPr>
              <w:t>1,3</w:t>
            </w:r>
          </w:p>
        </w:tc>
      </w:tr>
    </w:tbl>
    <w:p w14:paraId="7442F3D7" w14:textId="6DF98FD1" w:rsidR="00D555A8" w:rsidRPr="005A62BD" w:rsidRDefault="00D555A8" w:rsidP="00D73FC4">
      <w:pPr>
        <w:spacing w:after="0"/>
        <w:jc w:val="both"/>
        <w:rPr>
          <w:i/>
        </w:rPr>
      </w:pPr>
      <w:r w:rsidRPr="005A62BD">
        <w:rPr>
          <w:bCs/>
          <w:i/>
        </w:rPr>
        <w:t>Source: LFS UDB 2012-2015 (Statistical Office of the Slovak Republic, October 2016)</w:t>
      </w:r>
      <w:r w:rsidR="003B54BB">
        <w:rPr>
          <w:bCs/>
          <w:i/>
        </w:rPr>
        <w:t>.</w:t>
      </w:r>
    </w:p>
    <w:p w14:paraId="3D9BD6A2" w14:textId="77777777" w:rsidR="00512FB4" w:rsidRPr="005A62BD" w:rsidRDefault="00512FB4" w:rsidP="00D73FC4">
      <w:pPr>
        <w:spacing w:after="0"/>
        <w:jc w:val="both"/>
        <w:rPr>
          <w:rFonts w:eastAsia="SimSun"/>
          <w:bCs/>
        </w:rPr>
      </w:pPr>
    </w:p>
    <w:p w14:paraId="7BC5C1AE" w14:textId="4463E55D" w:rsidR="00EB54C7" w:rsidRPr="005A62BD" w:rsidRDefault="005C65DC" w:rsidP="00D73FC4">
      <w:pPr>
        <w:pStyle w:val="Heading2"/>
      </w:pPr>
      <w:bookmarkStart w:id="15" w:name="_Toc499120876"/>
      <w:r w:rsidRPr="005A62BD">
        <w:t>Poverty</w:t>
      </w:r>
      <w:r w:rsidR="00D939BF" w:rsidRPr="005A62BD">
        <w:t xml:space="preserve"> and social exclusion data</w:t>
      </w:r>
      <w:bookmarkEnd w:id="15"/>
    </w:p>
    <w:p w14:paraId="6CA4338F" w14:textId="77777777" w:rsidR="003C390B" w:rsidRPr="005A62BD" w:rsidRDefault="003C390B" w:rsidP="00D73FC4">
      <w:pPr>
        <w:spacing w:after="0"/>
        <w:jc w:val="both"/>
      </w:pPr>
    </w:p>
    <w:p w14:paraId="651D14B4" w14:textId="43A50B33" w:rsidR="00D105FC" w:rsidRDefault="00D105FC" w:rsidP="00D73FC4">
      <w:pPr>
        <w:pStyle w:val="BodyText"/>
        <w:spacing w:after="0"/>
        <w:jc w:val="both"/>
      </w:pPr>
      <w:r w:rsidRPr="005A62BD">
        <w:t>EU SILC data provides indicators of the key risks for people with disabilities. In addition to household risks of low work intensity, there are risks of low income (after social transfers), and material deprivation. These three measures are combined in the overall estimate of risk. The risks for older people do not include work intensity (Eurostat refers to the age group 0-59 for this measure). The survey does not distinguish ‘activity limitation’ (the proxy for impairment/disability) for children under the age of 16. Relevant data provided by the national expert is added where available.</w:t>
      </w:r>
    </w:p>
    <w:p w14:paraId="2DAB85E9" w14:textId="77777777" w:rsidR="005A62BD" w:rsidRPr="005A62BD" w:rsidRDefault="005A62BD" w:rsidP="00AB2EF5">
      <w:pPr>
        <w:pStyle w:val="BodyText"/>
        <w:spacing w:after="0"/>
      </w:pPr>
    </w:p>
    <w:p w14:paraId="27B02551" w14:textId="77777777" w:rsidR="00D105FC" w:rsidRPr="005A62BD" w:rsidRDefault="00D105FC"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17</w:t>
      </w:r>
      <w:r w:rsidR="00AB2EF5" w:rsidRPr="005A62BD">
        <w:rPr>
          <w:noProof/>
          <w:sz w:val="24"/>
          <w:szCs w:val="24"/>
        </w:rPr>
        <w:fldChar w:fldCharType="end"/>
      </w:r>
      <w:r w:rsidRPr="005A62BD">
        <w:rPr>
          <w:sz w:val="24"/>
          <w:szCs w:val="24"/>
        </w:rPr>
        <w:t>: People living in household poverty and exclusion by disability and risk (aged 16-59)</w:t>
      </w:r>
    </w:p>
    <w:p w14:paraId="2B946BCB" w14:textId="77777777" w:rsidR="00D105FC" w:rsidRPr="005A62BD" w:rsidRDefault="00D105FC" w:rsidP="00AB2EF5">
      <w:pPr>
        <w:spacing w:after="0"/>
      </w:pPr>
      <w:r w:rsidRPr="005A62BD">
        <w:rPr>
          <w:noProof/>
          <w:lang w:eastAsia="zh-CN"/>
        </w:rPr>
        <w:drawing>
          <wp:inline distT="0" distB="0" distL="0" distR="0" wp14:anchorId="684EB69B" wp14:editId="2EC055F7">
            <wp:extent cx="5486400" cy="2590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F81CA4" w14:textId="0FEB0618" w:rsidR="00D105FC" w:rsidRDefault="00D105FC"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46557A32" w14:textId="77777777" w:rsidR="005A62BD" w:rsidRPr="005A62BD" w:rsidRDefault="005A62BD" w:rsidP="00AB2EF5">
      <w:pPr>
        <w:pStyle w:val="Sourcereference"/>
        <w:spacing w:after="0"/>
        <w:rPr>
          <w:sz w:val="24"/>
          <w:lang w:eastAsia="en-GB"/>
        </w:rPr>
      </w:pPr>
    </w:p>
    <w:p w14:paraId="046FADE0" w14:textId="77777777" w:rsidR="00D105FC" w:rsidRPr="005A62BD" w:rsidRDefault="00D105FC"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18</w:t>
      </w:r>
      <w:r w:rsidR="00AB2EF5" w:rsidRPr="005A62BD">
        <w:rPr>
          <w:noProof/>
          <w:sz w:val="24"/>
          <w:szCs w:val="24"/>
        </w:rPr>
        <w:fldChar w:fldCharType="end"/>
      </w:r>
      <w:r w:rsidRPr="005A62BD">
        <w:rPr>
          <w:sz w:val="24"/>
          <w:szCs w:val="24"/>
        </w:rPr>
        <w:t>: People living in household poverty and exclusion by disability and gender (aged 16+)</w:t>
      </w:r>
    </w:p>
    <w:p w14:paraId="4B6E2C3D" w14:textId="77777777" w:rsidR="00D105FC" w:rsidRPr="005A62BD" w:rsidRDefault="00D105FC" w:rsidP="00AB2EF5">
      <w:pPr>
        <w:spacing w:after="0"/>
      </w:pPr>
      <w:r w:rsidRPr="005A62BD">
        <w:rPr>
          <w:noProof/>
          <w:lang w:eastAsia="zh-CN"/>
        </w:rPr>
        <w:lastRenderedPageBreak/>
        <w:drawing>
          <wp:inline distT="0" distB="0" distL="0" distR="0" wp14:anchorId="23AEBB20" wp14:editId="014D7EAA">
            <wp:extent cx="5581934" cy="2361062"/>
            <wp:effectExtent l="0" t="0" r="0" b="12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A3ED09" w14:textId="77777777" w:rsidR="00D105FC" w:rsidRPr="005A62BD" w:rsidRDefault="00D105FC"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229047CB" w14:textId="4A6F90EF" w:rsidR="00D105FC" w:rsidRPr="005A62BD" w:rsidRDefault="00D105FC" w:rsidP="00AB2EF5">
      <w:pPr>
        <w:spacing w:after="0"/>
        <w:rPr>
          <w:b/>
          <w:bCs/>
        </w:rPr>
      </w:pPr>
    </w:p>
    <w:p w14:paraId="141EEA86" w14:textId="77777777" w:rsidR="00D105FC" w:rsidRPr="005A62BD" w:rsidRDefault="00D105FC" w:rsidP="00AB2EF5">
      <w:pPr>
        <w:pStyle w:val="Caption"/>
        <w:spacing w:after="0"/>
        <w:rPr>
          <w:sz w:val="24"/>
          <w:szCs w:val="24"/>
        </w:rPr>
      </w:pPr>
      <w:r w:rsidRPr="005A62BD">
        <w:rPr>
          <w:sz w:val="24"/>
          <w:szCs w:val="24"/>
        </w:rPr>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19</w:t>
      </w:r>
      <w:r w:rsidR="00AB2EF5" w:rsidRPr="005A62BD">
        <w:rPr>
          <w:noProof/>
          <w:sz w:val="24"/>
          <w:szCs w:val="24"/>
        </w:rPr>
        <w:fldChar w:fldCharType="end"/>
      </w:r>
      <w:r w:rsidRPr="005A62BD">
        <w:rPr>
          <w:sz w:val="24"/>
          <w:szCs w:val="24"/>
        </w:rPr>
        <w:t>: Overall risk of household poverty or exclusion by disability and age (aged 16+)</w:t>
      </w:r>
    </w:p>
    <w:p w14:paraId="0117DDDE" w14:textId="77777777" w:rsidR="00D105FC" w:rsidRPr="005A62BD" w:rsidRDefault="00D105FC" w:rsidP="00AB2EF5">
      <w:pPr>
        <w:spacing w:after="0"/>
      </w:pPr>
      <w:r w:rsidRPr="005A62BD">
        <w:rPr>
          <w:noProof/>
          <w:lang w:eastAsia="zh-CN"/>
        </w:rPr>
        <w:drawing>
          <wp:inline distT="0" distB="0" distL="0" distR="0" wp14:anchorId="1500F08A" wp14:editId="60189B20">
            <wp:extent cx="5486400" cy="25908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BA73032" w14:textId="50BE7B84" w:rsidR="00D105FC" w:rsidRDefault="00D105FC"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w:t>
      </w:r>
    </w:p>
    <w:p w14:paraId="369567DF" w14:textId="77777777" w:rsidR="005A62BD" w:rsidRPr="005A62BD" w:rsidRDefault="005A62BD" w:rsidP="00AB2EF5">
      <w:pPr>
        <w:pStyle w:val="Sourcereference"/>
        <w:spacing w:after="0"/>
        <w:rPr>
          <w:sz w:val="24"/>
          <w:lang w:eastAsia="en-GB"/>
        </w:rPr>
      </w:pPr>
    </w:p>
    <w:p w14:paraId="528EE631" w14:textId="77777777" w:rsidR="003B54BB" w:rsidRDefault="003B54BB">
      <w:pPr>
        <w:spacing w:after="0"/>
        <w:rPr>
          <w:b/>
          <w:bCs/>
        </w:rPr>
      </w:pPr>
      <w:r>
        <w:br w:type="page"/>
      </w:r>
    </w:p>
    <w:p w14:paraId="27F09787" w14:textId="1A0F286F" w:rsidR="00D105FC" w:rsidRPr="005A62BD" w:rsidRDefault="00D105FC" w:rsidP="00AB2EF5">
      <w:pPr>
        <w:pStyle w:val="Caption"/>
        <w:spacing w:after="0"/>
        <w:rPr>
          <w:sz w:val="24"/>
          <w:szCs w:val="24"/>
        </w:rPr>
      </w:pPr>
      <w:r w:rsidRPr="005A62BD">
        <w:rPr>
          <w:sz w:val="24"/>
          <w:szCs w:val="24"/>
        </w:rPr>
        <w:lastRenderedPageBreak/>
        <w:t xml:space="preserve">Table </w:t>
      </w:r>
      <w:r w:rsidR="00AB2EF5" w:rsidRPr="005A62BD">
        <w:rPr>
          <w:sz w:val="24"/>
          <w:szCs w:val="24"/>
        </w:rPr>
        <w:fldChar w:fldCharType="begin"/>
      </w:r>
      <w:r w:rsidR="00AB2EF5" w:rsidRPr="005A62BD">
        <w:rPr>
          <w:sz w:val="24"/>
          <w:szCs w:val="24"/>
        </w:rPr>
        <w:instrText xml:space="preserve"> SEQ Table \* ARABIC </w:instrText>
      </w:r>
      <w:r w:rsidR="00AB2EF5" w:rsidRPr="005A62BD">
        <w:rPr>
          <w:sz w:val="24"/>
          <w:szCs w:val="24"/>
        </w:rPr>
        <w:fldChar w:fldCharType="separate"/>
      </w:r>
      <w:r w:rsidR="00727DF8">
        <w:rPr>
          <w:noProof/>
          <w:sz w:val="24"/>
          <w:szCs w:val="24"/>
        </w:rPr>
        <w:t>20</w:t>
      </w:r>
      <w:r w:rsidR="00AB2EF5" w:rsidRPr="005A62BD">
        <w:rPr>
          <w:noProof/>
          <w:sz w:val="24"/>
          <w:szCs w:val="24"/>
        </w:rPr>
        <w:fldChar w:fldCharType="end"/>
      </w:r>
      <w:r w:rsidRPr="005A62BD">
        <w:rPr>
          <w:sz w:val="24"/>
          <w:szCs w:val="24"/>
        </w:rPr>
        <w:t>: Trends in household risk of poverty and exclusion by disability and age (EU-SILC 2015)</w:t>
      </w:r>
    </w:p>
    <w:p w14:paraId="53F1DF36" w14:textId="77777777" w:rsidR="00D105FC" w:rsidRPr="005A62BD" w:rsidRDefault="00D105FC" w:rsidP="00AB2EF5">
      <w:pPr>
        <w:spacing w:after="0"/>
      </w:pPr>
      <w:r w:rsidRPr="005A62BD">
        <w:rPr>
          <w:noProof/>
          <w:lang w:eastAsia="zh-CN"/>
        </w:rPr>
        <w:drawing>
          <wp:inline distT="0" distB="0" distL="0" distR="0" wp14:anchorId="2B03FA6C" wp14:editId="52AAD0A8">
            <wp:extent cx="5486400" cy="4043083"/>
            <wp:effectExtent l="0" t="0" r="19050" b="1460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5CFE8DC" w14:textId="2F45060B" w:rsidR="00EA5FB9" w:rsidRPr="005A62BD" w:rsidRDefault="00D105FC" w:rsidP="00AB2EF5">
      <w:pPr>
        <w:pStyle w:val="Sourcereference"/>
        <w:spacing w:after="0"/>
        <w:rPr>
          <w:sz w:val="24"/>
          <w:lang w:eastAsia="en-GB"/>
        </w:rPr>
      </w:pPr>
      <w:r w:rsidRPr="005A62BD">
        <w:rPr>
          <w:sz w:val="24"/>
        </w:rPr>
        <w:t xml:space="preserve">Source: </w:t>
      </w:r>
      <w:r w:rsidRPr="005A62BD">
        <w:rPr>
          <w:sz w:val="24"/>
          <w:lang w:eastAsia="en-GB"/>
        </w:rPr>
        <w:t>EUSILC UDB 2015 – version of October 2017 (and previous UDB</w:t>
      </w:r>
      <w:r w:rsidR="00EA5FB9" w:rsidRPr="005A62BD">
        <w:rPr>
          <w:sz w:val="24"/>
          <w:lang w:eastAsia="en-GB"/>
        </w:rPr>
        <w:t>)</w:t>
      </w:r>
    </w:p>
    <w:p w14:paraId="78E7FE3B" w14:textId="4F21C4A9" w:rsidR="008757D9" w:rsidRPr="005A62BD" w:rsidRDefault="008757D9" w:rsidP="00AB2EF5">
      <w:pPr>
        <w:spacing w:after="0"/>
        <w:rPr>
          <w:b/>
        </w:rPr>
      </w:pPr>
    </w:p>
    <w:p w14:paraId="77112101" w14:textId="77777777" w:rsidR="00EA5FB9" w:rsidRPr="005A62BD" w:rsidRDefault="00EA5FB9" w:rsidP="00D73FC4">
      <w:pPr>
        <w:pStyle w:val="Un-numberedsubheading"/>
        <w:spacing w:after="0"/>
        <w:jc w:val="both"/>
      </w:pPr>
      <w:r w:rsidRPr="005A62BD">
        <w:t>Alternative data on disability and risk of poverty or social exclusion provided by the national expert:</w:t>
      </w:r>
    </w:p>
    <w:p w14:paraId="672C2211" w14:textId="77777777" w:rsidR="008757D9" w:rsidRPr="005A62BD" w:rsidRDefault="008757D9" w:rsidP="00D73FC4">
      <w:pPr>
        <w:pStyle w:val="Un-numberedsubheading"/>
        <w:spacing w:after="0"/>
        <w:jc w:val="both"/>
        <w:rPr>
          <w:b w:val="0"/>
          <w:bCs/>
        </w:rPr>
      </w:pPr>
    </w:p>
    <w:p w14:paraId="2323C603" w14:textId="77777777" w:rsidR="00F662B7" w:rsidRPr="005A62BD" w:rsidRDefault="00D47BAE" w:rsidP="00D73FC4">
      <w:pPr>
        <w:pStyle w:val="Un-numberedsubheading"/>
        <w:spacing w:after="0"/>
        <w:jc w:val="both"/>
        <w:rPr>
          <w:b w:val="0"/>
          <w:bCs/>
        </w:rPr>
      </w:pPr>
      <w:r w:rsidRPr="005A62BD">
        <w:rPr>
          <w:b w:val="0"/>
          <w:bCs/>
        </w:rPr>
        <w:t xml:space="preserve">The </w:t>
      </w:r>
      <w:r w:rsidR="00F662B7" w:rsidRPr="005A62BD">
        <w:rPr>
          <w:b w:val="0"/>
          <w:bCs/>
        </w:rPr>
        <w:t xml:space="preserve">Statistical </w:t>
      </w:r>
      <w:r w:rsidR="00DD1E5A" w:rsidRPr="005A62BD">
        <w:rPr>
          <w:b w:val="0"/>
          <w:bCs/>
        </w:rPr>
        <w:t xml:space="preserve">Office of the SR provides some additional </w:t>
      </w:r>
      <w:r w:rsidR="00F662B7" w:rsidRPr="005A62BD">
        <w:rPr>
          <w:b w:val="0"/>
          <w:bCs/>
        </w:rPr>
        <w:t>data based on the EU-SILC monitoring.</w:t>
      </w:r>
    </w:p>
    <w:p w14:paraId="2E7020C8" w14:textId="77777777" w:rsidR="00A9134D" w:rsidRPr="005A62BD" w:rsidRDefault="00A9134D" w:rsidP="00AB2EF5">
      <w:pPr>
        <w:pStyle w:val="Un-numberedsubheading"/>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000"/>
        <w:gridCol w:w="995"/>
        <w:gridCol w:w="999"/>
        <w:gridCol w:w="997"/>
        <w:gridCol w:w="999"/>
        <w:gridCol w:w="982"/>
      </w:tblGrid>
      <w:tr w:rsidR="007238CE" w:rsidRPr="003160F2" w14:paraId="6F082BE6" w14:textId="77777777" w:rsidTr="007238CE">
        <w:tc>
          <w:tcPr>
            <w:tcW w:w="5000" w:type="pct"/>
            <w:gridSpan w:val="7"/>
            <w:shd w:val="clear" w:color="auto" w:fill="auto"/>
          </w:tcPr>
          <w:p w14:paraId="1EA65B45" w14:textId="77777777" w:rsidR="007238CE" w:rsidRPr="003160F2" w:rsidRDefault="007238CE" w:rsidP="00AB2EF5">
            <w:pPr>
              <w:pStyle w:val="Un-numberedsubheading"/>
              <w:spacing w:after="0"/>
              <w:rPr>
                <w:b w:val="0"/>
                <w:sz w:val="20"/>
                <w:szCs w:val="20"/>
              </w:rPr>
            </w:pPr>
            <w:r w:rsidRPr="003160F2">
              <w:rPr>
                <w:bCs/>
                <w:sz w:val="20"/>
                <w:szCs w:val="20"/>
              </w:rPr>
              <w:t>Selected EU SILC households with disabled members´ indicators (in %)</w:t>
            </w:r>
          </w:p>
        </w:tc>
      </w:tr>
      <w:tr w:rsidR="003C5A2B" w:rsidRPr="003160F2" w14:paraId="0F4206F9" w14:textId="77777777" w:rsidTr="007238CE">
        <w:tc>
          <w:tcPr>
            <w:tcW w:w="1784" w:type="pct"/>
            <w:vMerge w:val="restart"/>
            <w:shd w:val="clear" w:color="auto" w:fill="auto"/>
            <w:vAlign w:val="center"/>
          </w:tcPr>
          <w:p w14:paraId="2788FB7C" w14:textId="77777777" w:rsidR="00EF2568" w:rsidRPr="003160F2" w:rsidRDefault="00EF2568" w:rsidP="00AB2EF5">
            <w:pPr>
              <w:pStyle w:val="Un-numberedsubheading"/>
              <w:spacing w:after="0"/>
              <w:rPr>
                <w:b w:val="0"/>
                <w:i/>
                <w:sz w:val="20"/>
                <w:szCs w:val="20"/>
              </w:rPr>
            </w:pPr>
            <w:r w:rsidRPr="003160F2">
              <w:rPr>
                <w:b w:val="0"/>
                <w:i/>
                <w:sz w:val="20"/>
                <w:szCs w:val="20"/>
              </w:rPr>
              <w:t>Indicator</w:t>
            </w:r>
          </w:p>
        </w:tc>
        <w:tc>
          <w:tcPr>
            <w:tcW w:w="1074" w:type="pct"/>
            <w:gridSpan w:val="2"/>
            <w:shd w:val="clear" w:color="auto" w:fill="auto"/>
            <w:vAlign w:val="center"/>
          </w:tcPr>
          <w:p w14:paraId="4D24914C" w14:textId="0605A7FF" w:rsidR="00EF2568" w:rsidRPr="003160F2" w:rsidRDefault="00EF2568" w:rsidP="00AB2EF5">
            <w:pPr>
              <w:pStyle w:val="Un-numberedsubheading"/>
              <w:spacing w:after="0"/>
              <w:rPr>
                <w:b w:val="0"/>
                <w:i/>
                <w:sz w:val="20"/>
                <w:szCs w:val="20"/>
              </w:rPr>
            </w:pPr>
            <w:r w:rsidRPr="003160F2">
              <w:rPr>
                <w:b w:val="0"/>
                <w:i/>
                <w:sz w:val="20"/>
                <w:szCs w:val="20"/>
              </w:rPr>
              <w:t>EU SILC 201</w:t>
            </w:r>
            <w:r w:rsidR="004A7A91" w:rsidRPr="003160F2">
              <w:rPr>
                <w:b w:val="0"/>
                <w:i/>
                <w:sz w:val="20"/>
                <w:szCs w:val="20"/>
              </w:rPr>
              <w:t>3</w:t>
            </w:r>
          </w:p>
        </w:tc>
        <w:tc>
          <w:tcPr>
            <w:tcW w:w="1075" w:type="pct"/>
            <w:gridSpan w:val="2"/>
            <w:shd w:val="clear" w:color="auto" w:fill="auto"/>
            <w:vAlign w:val="center"/>
          </w:tcPr>
          <w:p w14:paraId="0EE6F4DE" w14:textId="220A8681" w:rsidR="00EF2568" w:rsidRPr="003160F2" w:rsidRDefault="00EF2568" w:rsidP="00AB2EF5">
            <w:pPr>
              <w:pStyle w:val="Un-numberedsubheading"/>
              <w:spacing w:after="0"/>
              <w:rPr>
                <w:b w:val="0"/>
                <w:i/>
                <w:sz w:val="20"/>
                <w:szCs w:val="20"/>
              </w:rPr>
            </w:pPr>
            <w:r w:rsidRPr="003160F2">
              <w:rPr>
                <w:b w:val="0"/>
                <w:i/>
                <w:sz w:val="20"/>
                <w:szCs w:val="20"/>
              </w:rPr>
              <w:t>EU SILC 201</w:t>
            </w:r>
            <w:r w:rsidR="004A7A91" w:rsidRPr="003160F2">
              <w:rPr>
                <w:b w:val="0"/>
                <w:i/>
                <w:sz w:val="20"/>
                <w:szCs w:val="20"/>
              </w:rPr>
              <w:t>4</w:t>
            </w:r>
          </w:p>
        </w:tc>
        <w:tc>
          <w:tcPr>
            <w:tcW w:w="1067" w:type="pct"/>
            <w:gridSpan w:val="2"/>
            <w:shd w:val="clear" w:color="auto" w:fill="auto"/>
            <w:vAlign w:val="center"/>
          </w:tcPr>
          <w:p w14:paraId="4D4C9D79" w14:textId="08D6C46E" w:rsidR="00EF2568" w:rsidRPr="003160F2" w:rsidRDefault="00EF2568" w:rsidP="00AB2EF5">
            <w:pPr>
              <w:pStyle w:val="Un-numberedsubheading"/>
              <w:spacing w:after="0"/>
              <w:rPr>
                <w:b w:val="0"/>
                <w:i/>
                <w:sz w:val="20"/>
                <w:szCs w:val="20"/>
              </w:rPr>
            </w:pPr>
            <w:r w:rsidRPr="003160F2">
              <w:rPr>
                <w:b w:val="0"/>
                <w:i/>
                <w:sz w:val="20"/>
                <w:szCs w:val="20"/>
              </w:rPr>
              <w:t>EU SILC 201</w:t>
            </w:r>
            <w:r w:rsidR="004A7A91" w:rsidRPr="003160F2">
              <w:rPr>
                <w:b w:val="0"/>
                <w:i/>
                <w:sz w:val="20"/>
                <w:szCs w:val="20"/>
              </w:rPr>
              <w:t>5</w:t>
            </w:r>
          </w:p>
        </w:tc>
      </w:tr>
      <w:tr w:rsidR="003C5A2B" w:rsidRPr="003160F2" w14:paraId="6CDA76AB" w14:textId="77777777" w:rsidTr="007238CE">
        <w:tc>
          <w:tcPr>
            <w:tcW w:w="1784" w:type="pct"/>
            <w:vMerge/>
            <w:shd w:val="clear" w:color="auto" w:fill="auto"/>
          </w:tcPr>
          <w:p w14:paraId="73123407" w14:textId="77777777" w:rsidR="00EF2568" w:rsidRPr="003160F2" w:rsidRDefault="00EF2568" w:rsidP="00AB2EF5">
            <w:pPr>
              <w:pStyle w:val="Un-numberedsubheading"/>
              <w:spacing w:after="0"/>
              <w:rPr>
                <w:b w:val="0"/>
                <w:sz w:val="20"/>
                <w:szCs w:val="20"/>
              </w:rPr>
            </w:pPr>
          </w:p>
        </w:tc>
        <w:tc>
          <w:tcPr>
            <w:tcW w:w="538" w:type="pct"/>
            <w:shd w:val="clear" w:color="auto" w:fill="auto"/>
            <w:vAlign w:val="center"/>
          </w:tcPr>
          <w:p w14:paraId="1C62EBE1" w14:textId="77777777" w:rsidR="00EF2568" w:rsidRPr="003160F2" w:rsidRDefault="00EF2568" w:rsidP="00AB2EF5">
            <w:pPr>
              <w:pStyle w:val="Un-numberedsubheading"/>
              <w:spacing w:after="0"/>
              <w:rPr>
                <w:b w:val="0"/>
                <w:i/>
                <w:sz w:val="20"/>
                <w:szCs w:val="20"/>
              </w:rPr>
            </w:pPr>
            <w:r w:rsidRPr="003160F2">
              <w:rPr>
                <w:b w:val="0"/>
                <w:i/>
                <w:sz w:val="20"/>
                <w:szCs w:val="20"/>
              </w:rPr>
              <w:t>Disabled</w:t>
            </w:r>
          </w:p>
        </w:tc>
        <w:tc>
          <w:tcPr>
            <w:tcW w:w="536" w:type="pct"/>
            <w:shd w:val="clear" w:color="auto" w:fill="auto"/>
            <w:vAlign w:val="center"/>
          </w:tcPr>
          <w:p w14:paraId="19FFC99E" w14:textId="77777777" w:rsidR="00EF2568" w:rsidRPr="003160F2" w:rsidRDefault="00EF2568" w:rsidP="00AB2EF5">
            <w:pPr>
              <w:pStyle w:val="Un-numberedsubheading"/>
              <w:spacing w:after="0"/>
              <w:rPr>
                <w:b w:val="0"/>
                <w:i/>
                <w:sz w:val="20"/>
                <w:szCs w:val="20"/>
              </w:rPr>
            </w:pPr>
            <w:r w:rsidRPr="003160F2">
              <w:rPr>
                <w:b w:val="0"/>
                <w:i/>
                <w:sz w:val="20"/>
                <w:szCs w:val="20"/>
              </w:rPr>
              <w:t>Non-disabled</w:t>
            </w:r>
          </w:p>
        </w:tc>
        <w:tc>
          <w:tcPr>
            <w:tcW w:w="538" w:type="pct"/>
            <w:shd w:val="clear" w:color="auto" w:fill="auto"/>
            <w:vAlign w:val="center"/>
          </w:tcPr>
          <w:p w14:paraId="04E672B1" w14:textId="77777777" w:rsidR="00EF2568" w:rsidRPr="003160F2" w:rsidRDefault="00EF2568" w:rsidP="00AB2EF5">
            <w:pPr>
              <w:pStyle w:val="Un-numberedsubheading"/>
              <w:spacing w:after="0"/>
              <w:rPr>
                <w:b w:val="0"/>
                <w:i/>
                <w:sz w:val="20"/>
                <w:szCs w:val="20"/>
              </w:rPr>
            </w:pPr>
            <w:r w:rsidRPr="003160F2">
              <w:rPr>
                <w:b w:val="0"/>
                <w:i/>
                <w:sz w:val="20"/>
                <w:szCs w:val="20"/>
              </w:rPr>
              <w:t>Disabled</w:t>
            </w:r>
          </w:p>
        </w:tc>
        <w:tc>
          <w:tcPr>
            <w:tcW w:w="537" w:type="pct"/>
            <w:shd w:val="clear" w:color="auto" w:fill="auto"/>
            <w:vAlign w:val="center"/>
          </w:tcPr>
          <w:p w14:paraId="17CA9DEF" w14:textId="77777777" w:rsidR="00EF2568" w:rsidRPr="003160F2" w:rsidRDefault="00EF2568" w:rsidP="00AB2EF5">
            <w:pPr>
              <w:pStyle w:val="Un-numberedsubheading"/>
              <w:spacing w:after="0"/>
              <w:rPr>
                <w:b w:val="0"/>
                <w:i/>
                <w:sz w:val="20"/>
                <w:szCs w:val="20"/>
              </w:rPr>
            </w:pPr>
            <w:r w:rsidRPr="003160F2">
              <w:rPr>
                <w:b w:val="0"/>
                <w:i/>
                <w:sz w:val="20"/>
                <w:szCs w:val="20"/>
              </w:rPr>
              <w:t>Non-disabled</w:t>
            </w:r>
          </w:p>
        </w:tc>
        <w:tc>
          <w:tcPr>
            <w:tcW w:w="538" w:type="pct"/>
            <w:shd w:val="clear" w:color="auto" w:fill="auto"/>
            <w:vAlign w:val="center"/>
          </w:tcPr>
          <w:p w14:paraId="5319A50D" w14:textId="77777777" w:rsidR="00EF2568" w:rsidRPr="003160F2" w:rsidRDefault="00EF2568" w:rsidP="00AB2EF5">
            <w:pPr>
              <w:pStyle w:val="Un-numberedsubheading"/>
              <w:spacing w:after="0"/>
              <w:rPr>
                <w:b w:val="0"/>
                <w:i/>
                <w:sz w:val="20"/>
                <w:szCs w:val="20"/>
              </w:rPr>
            </w:pPr>
            <w:r w:rsidRPr="003160F2">
              <w:rPr>
                <w:b w:val="0"/>
                <w:i/>
                <w:sz w:val="20"/>
                <w:szCs w:val="20"/>
              </w:rPr>
              <w:t>Disabled</w:t>
            </w:r>
          </w:p>
        </w:tc>
        <w:tc>
          <w:tcPr>
            <w:tcW w:w="529" w:type="pct"/>
            <w:shd w:val="clear" w:color="auto" w:fill="auto"/>
            <w:vAlign w:val="center"/>
          </w:tcPr>
          <w:p w14:paraId="19DDCBA7" w14:textId="77777777" w:rsidR="00EF2568" w:rsidRPr="003160F2" w:rsidRDefault="00EF2568" w:rsidP="00AB2EF5">
            <w:pPr>
              <w:pStyle w:val="Un-numberedsubheading"/>
              <w:spacing w:after="0"/>
              <w:rPr>
                <w:b w:val="0"/>
                <w:i/>
                <w:sz w:val="20"/>
                <w:szCs w:val="20"/>
              </w:rPr>
            </w:pPr>
            <w:r w:rsidRPr="003160F2">
              <w:rPr>
                <w:b w:val="0"/>
                <w:i/>
                <w:sz w:val="20"/>
                <w:szCs w:val="20"/>
              </w:rPr>
              <w:t>Non-disabled</w:t>
            </w:r>
          </w:p>
        </w:tc>
      </w:tr>
      <w:tr w:rsidR="003C5A2B" w:rsidRPr="003160F2" w14:paraId="29A32D64" w14:textId="77777777" w:rsidTr="003160F2">
        <w:tc>
          <w:tcPr>
            <w:tcW w:w="1784" w:type="pct"/>
            <w:shd w:val="clear" w:color="auto" w:fill="auto"/>
          </w:tcPr>
          <w:p w14:paraId="14077662" w14:textId="77777777" w:rsidR="00EF2568" w:rsidRPr="003160F2" w:rsidRDefault="00EF2568" w:rsidP="00AB2EF5">
            <w:pPr>
              <w:pStyle w:val="Un-numberedsubheading"/>
              <w:spacing w:after="0"/>
              <w:rPr>
                <w:b w:val="0"/>
                <w:sz w:val="20"/>
                <w:szCs w:val="20"/>
              </w:rPr>
            </w:pPr>
            <w:r w:rsidRPr="003160F2">
              <w:rPr>
                <w:b w:val="0"/>
                <w:sz w:val="20"/>
                <w:szCs w:val="20"/>
              </w:rPr>
              <w:t>Average equivalent disposal income (in €)</w:t>
            </w:r>
          </w:p>
        </w:tc>
        <w:tc>
          <w:tcPr>
            <w:tcW w:w="538" w:type="pct"/>
            <w:shd w:val="clear" w:color="auto" w:fill="auto"/>
            <w:vAlign w:val="center"/>
          </w:tcPr>
          <w:p w14:paraId="7D55559B" w14:textId="323A60F7" w:rsidR="00EF2568" w:rsidRPr="003160F2" w:rsidRDefault="00EF2568" w:rsidP="003160F2">
            <w:pPr>
              <w:pStyle w:val="Un-numberedsubheading"/>
              <w:spacing w:after="0"/>
              <w:jc w:val="right"/>
              <w:rPr>
                <w:b w:val="0"/>
                <w:sz w:val="20"/>
                <w:szCs w:val="20"/>
              </w:rPr>
            </w:pPr>
            <w:r w:rsidRPr="003160F2">
              <w:rPr>
                <w:b w:val="0"/>
                <w:sz w:val="20"/>
                <w:szCs w:val="20"/>
              </w:rPr>
              <w:t>57</w:t>
            </w:r>
            <w:r w:rsidR="004A7A91" w:rsidRPr="003160F2">
              <w:rPr>
                <w:b w:val="0"/>
                <w:sz w:val="20"/>
                <w:szCs w:val="20"/>
              </w:rPr>
              <w:t>2</w:t>
            </w:r>
          </w:p>
        </w:tc>
        <w:tc>
          <w:tcPr>
            <w:tcW w:w="536" w:type="pct"/>
            <w:shd w:val="clear" w:color="auto" w:fill="auto"/>
            <w:vAlign w:val="center"/>
          </w:tcPr>
          <w:p w14:paraId="4DC20A80" w14:textId="04A6B5A2" w:rsidR="00EF2568" w:rsidRPr="003160F2" w:rsidRDefault="00EF2568" w:rsidP="003160F2">
            <w:pPr>
              <w:pStyle w:val="Un-numberedsubheading"/>
              <w:spacing w:after="0"/>
              <w:jc w:val="right"/>
              <w:rPr>
                <w:b w:val="0"/>
                <w:sz w:val="20"/>
                <w:szCs w:val="20"/>
              </w:rPr>
            </w:pPr>
            <w:r w:rsidRPr="003160F2">
              <w:rPr>
                <w:b w:val="0"/>
                <w:sz w:val="20"/>
                <w:szCs w:val="20"/>
              </w:rPr>
              <w:t>6</w:t>
            </w:r>
            <w:r w:rsidR="004A7A91" w:rsidRPr="003160F2">
              <w:rPr>
                <w:b w:val="0"/>
                <w:sz w:val="20"/>
                <w:szCs w:val="20"/>
              </w:rPr>
              <w:t>36</w:t>
            </w:r>
          </w:p>
        </w:tc>
        <w:tc>
          <w:tcPr>
            <w:tcW w:w="538" w:type="pct"/>
            <w:shd w:val="clear" w:color="auto" w:fill="auto"/>
            <w:vAlign w:val="center"/>
          </w:tcPr>
          <w:p w14:paraId="2819BF9F" w14:textId="0A92A96C" w:rsidR="00EF2568" w:rsidRPr="003160F2" w:rsidRDefault="004B3807" w:rsidP="003160F2">
            <w:pPr>
              <w:pStyle w:val="Un-numberedsubheading"/>
              <w:spacing w:after="0"/>
              <w:jc w:val="right"/>
              <w:rPr>
                <w:b w:val="0"/>
                <w:sz w:val="20"/>
                <w:szCs w:val="20"/>
              </w:rPr>
            </w:pPr>
            <w:r w:rsidRPr="003160F2">
              <w:rPr>
                <w:b w:val="0"/>
                <w:sz w:val="20"/>
                <w:szCs w:val="20"/>
              </w:rPr>
              <w:t>5</w:t>
            </w:r>
            <w:r w:rsidR="00D464DA" w:rsidRPr="003160F2">
              <w:rPr>
                <w:b w:val="0"/>
                <w:sz w:val="20"/>
                <w:szCs w:val="20"/>
              </w:rPr>
              <w:t>84</w:t>
            </w:r>
          </w:p>
        </w:tc>
        <w:tc>
          <w:tcPr>
            <w:tcW w:w="537" w:type="pct"/>
            <w:shd w:val="clear" w:color="auto" w:fill="auto"/>
            <w:vAlign w:val="center"/>
          </w:tcPr>
          <w:p w14:paraId="7ED8F88C" w14:textId="377A5619" w:rsidR="00EF2568" w:rsidRPr="003160F2" w:rsidRDefault="004B3807" w:rsidP="003160F2">
            <w:pPr>
              <w:pStyle w:val="Un-numberedsubheading"/>
              <w:spacing w:after="0"/>
              <w:jc w:val="right"/>
              <w:rPr>
                <w:b w:val="0"/>
                <w:sz w:val="20"/>
                <w:szCs w:val="20"/>
              </w:rPr>
            </w:pPr>
            <w:r w:rsidRPr="003160F2">
              <w:rPr>
                <w:b w:val="0"/>
                <w:sz w:val="20"/>
                <w:szCs w:val="20"/>
              </w:rPr>
              <w:t>6</w:t>
            </w:r>
            <w:r w:rsidR="00D464DA" w:rsidRPr="003160F2">
              <w:rPr>
                <w:b w:val="0"/>
                <w:sz w:val="20"/>
                <w:szCs w:val="20"/>
              </w:rPr>
              <w:t>55</w:t>
            </w:r>
          </w:p>
        </w:tc>
        <w:tc>
          <w:tcPr>
            <w:tcW w:w="538" w:type="pct"/>
            <w:shd w:val="clear" w:color="auto" w:fill="auto"/>
            <w:vAlign w:val="center"/>
          </w:tcPr>
          <w:p w14:paraId="64C3FF21" w14:textId="77777777" w:rsidR="00EF2568" w:rsidRPr="003160F2" w:rsidRDefault="004B3807" w:rsidP="003160F2">
            <w:pPr>
              <w:pStyle w:val="Un-numberedsubheading"/>
              <w:spacing w:after="0"/>
              <w:jc w:val="right"/>
              <w:rPr>
                <w:b w:val="0"/>
                <w:sz w:val="20"/>
                <w:szCs w:val="20"/>
              </w:rPr>
            </w:pPr>
            <w:r w:rsidRPr="003160F2">
              <w:rPr>
                <w:b w:val="0"/>
                <w:sz w:val="20"/>
                <w:szCs w:val="20"/>
              </w:rPr>
              <w:t>584</w:t>
            </w:r>
          </w:p>
        </w:tc>
        <w:tc>
          <w:tcPr>
            <w:tcW w:w="529" w:type="pct"/>
            <w:shd w:val="clear" w:color="auto" w:fill="auto"/>
            <w:vAlign w:val="center"/>
          </w:tcPr>
          <w:p w14:paraId="4E1F80F6" w14:textId="6B45C9F5" w:rsidR="00EF2568" w:rsidRPr="003160F2" w:rsidRDefault="004B3807" w:rsidP="003160F2">
            <w:pPr>
              <w:pStyle w:val="Un-numberedsubheading"/>
              <w:spacing w:after="0"/>
              <w:jc w:val="right"/>
              <w:rPr>
                <w:b w:val="0"/>
                <w:sz w:val="20"/>
                <w:szCs w:val="20"/>
              </w:rPr>
            </w:pPr>
            <w:r w:rsidRPr="003160F2">
              <w:rPr>
                <w:b w:val="0"/>
                <w:sz w:val="20"/>
                <w:szCs w:val="20"/>
              </w:rPr>
              <w:t>6</w:t>
            </w:r>
            <w:r w:rsidR="00D464DA" w:rsidRPr="003160F2">
              <w:rPr>
                <w:b w:val="0"/>
                <w:sz w:val="20"/>
                <w:szCs w:val="20"/>
              </w:rPr>
              <w:t>29</w:t>
            </w:r>
          </w:p>
        </w:tc>
      </w:tr>
      <w:tr w:rsidR="003C5A2B" w:rsidRPr="003160F2" w14:paraId="108DC376" w14:textId="77777777" w:rsidTr="003160F2">
        <w:tc>
          <w:tcPr>
            <w:tcW w:w="1784" w:type="pct"/>
            <w:shd w:val="clear" w:color="auto" w:fill="auto"/>
          </w:tcPr>
          <w:p w14:paraId="74112EDD" w14:textId="77777777" w:rsidR="00C72C6F" w:rsidRPr="003160F2" w:rsidRDefault="00EF2568" w:rsidP="00AB2EF5">
            <w:pPr>
              <w:pStyle w:val="Un-numberedsubheading"/>
              <w:spacing w:after="0"/>
              <w:rPr>
                <w:b w:val="0"/>
                <w:sz w:val="20"/>
                <w:szCs w:val="20"/>
              </w:rPr>
            </w:pPr>
            <w:r w:rsidRPr="003160F2">
              <w:rPr>
                <w:b w:val="0"/>
                <w:sz w:val="20"/>
                <w:szCs w:val="20"/>
              </w:rPr>
              <w:t>Low work intensity of household</w:t>
            </w:r>
          </w:p>
        </w:tc>
        <w:tc>
          <w:tcPr>
            <w:tcW w:w="538" w:type="pct"/>
            <w:shd w:val="clear" w:color="auto" w:fill="auto"/>
            <w:vAlign w:val="center"/>
          </w:tcPr>
          <w:p w14:paraId="523FD6CF" w14:textId="6F61A3C7" w:rsidR="00C72C6F" w:rsidRPr="003160F2" w:rsidRDefault="004B3807" w:rsidP="003160F2">
            <w:pPr>
              <w:pStyle w:val="Un-numberedsubheading"/>
              <w:spacing w:after="0"/>
              <w:jc w:val="right"/>
              <w:rPr>
                <w:b w:val="0"/>
                <w:sz w:val="20"/>
                <w:szCs w:val="20"/>
              </w:rPr>
            </w:pPr>
            <w:r w:rsidRPr="003160F2">
              <w:rPr>
                <w:b w:val="0"/>
                <w:sz w:val="20"/>
                <w:szCs w:val="20"/>
              </w:rPr>
              <w:t>14.</w:t>
            </w:r>
            <w:r w:rsidR="00D464DA" w:rsidRPr="003160F2">
              <w:rPr>
                <w:b w:val="0"/>
                <w:sz w:val="20"/>
                <w:szCs w:val="20"/>
              </w:rPr>
              <w:t>4</w:t>
            </w:r>
          </w:p>
        </w:tc>
        <w:tc>
          <w:tcPr>
            <w:tcW w:w="536" w:type="pct"/>
            <w:shd w:val="clear" w:color="auto" w:fill="auto"/>
            <w:vAlign w:val="center"/>
          </w:tcPr>
          <w:p w14:paraId="7620AD38" w14:textId="0FD4F92A" w:rsidR="00C72C6F" w:rsidRPr="003160F2" w:rsidRDefault="00D464DA" w:rsidP="003160F2">
            <w:pPr>
              <w:pStyle w:val="Un-numberedsubheading"/>
              <w:spacing w:after="0"/>
              <w:jc w:val="right"/>
              <w:rPr>
                <w:b w:val="0"/>
                <w:sz w:val="20"/>
                <w:szCs w:val="20"/>
              </w:rPr>
            </w:pPr>
            <w:r w:rsidRPr="003160F2">
              <w:rPr>
                <w:b w:val="0"/>
                <w:sz w:val="20"/>
                <w:szCs w:val="20"/>
              </w:rPr>
              <w:t>6.9</w:t>
            </w:r>
          </w:p>
        </w:tc>
        <w:tc>
          <w:tcPr>
            <w:tcW w:w="538" w:type="pct"/>
            <w:shd w:val="clear" w:color="auto" w:fill="auto"/>
            <w:vAlign w:val="center"/>
          </w:tcPr>
          <w:p w14:paraId="5EA23E5E" w14:textId="78677B13" w:rsidR="00C72C6F" w:rsidRPr="003160F2" w:rsidRDefault="004B3807" w:rsidP="003160F2">
            <w:pPr>
              <w:pStyle w:val="Un-numberedsubheading"/>
              <w:spacing w:after="0"/>
              <w:jc w:val="right"/>
              <w:rPr>
                <w:b w:val="0"/>
                <w:sz w:val="20"/>
                <w:szCs w:val="20"/>
              </w:rPr>
            </w:pPr>
            <w:r w:rsidRPr="003160F2">
              <w:rPr>
                <w:b w:val="0"/>
                <w:sz w:val="20"/>
                <w:szCs w:val="20"/>
              </w:rPr>
              <w:t>1</w:t>
            </w:r>
            <w:r w:rsidR="00D464DA" w:rsidRPr="003160F2">
              <w:rPr>
                <w:b w:val="0"/>
                <w:sz w:val="20"/>
                <w:szCs w:val="20"/>
              </w:rPr>
              <w:t>2.5</w:t>
            </w:r>
          </w:p>
        </w:tc>
        <w:tc>
          <w:tcPr>
            <w:tcW w:w="537" w:type="pct"/>
            <w:shd w:val="clear" w:color="auto" w:fill="auto"/>
            <w:vAlign w:val="center"/>
          </w:tcPr>
          <w:p w14:paraId="113F9443" w14:textId="34E9784C" w:rsidR="00C72C6F" w:rsidRPr="003160F2" w:rsidRDefault="00D464DA" w:rsidP="003160F2">
            <w:pPr>
              <w:pStyle w:val="Un-numberedsubheading"/>
              <w:spacing w:after="0"/>
              <w:jc w:val="right"/>
              <w:rPr>
                <w:b w:val="0"/>
                <w:sz w:val="20"/>
                <w:szCs w:val="20"/>
              </w:rPr>
            </w:pPr>
            <w:r w:rsidRPr="003160F2">
              <w:rPr>
                <w:b w:val="0"/>
                <w:sz w:val="20"/>
                <w:szCs w:val="20"/>
              </w:rPr>
              <w:t>7.0</w:t>
            </w:r>
          </w:p>
        </w:tc>
        <w:tc>
          <w:tcPr>
            <w:tcW w:w="538" w:type="pct"/>
            <w:shd w:val="clear" w:color="auto" w:fill="auto"/>
            <w:vAlign w:val="center"/>
          </w:tcPr>
          <w:p w14:paraId="4F278855" w14:textId="7BB8C0C4" w:rsidR="00C72C6F" w:rsidRPr="003160F2" w:rsidRDefault="004B3807" w:rsidP="003160F2">
            <w:pPr>
              <w:pStyle w:val="Un-numberedsubheading"/>
              <w:spacing w:after="0"/>
              <w:jc w:val="right"/>
              <w:rPr>
                <w:b w:val="0"/>
                <w:sz w:val="20"/>
                <w:szCs w:val="20"/>
              </w:rPr>
            </w:pPr>
            <w:r w:rsidRPr="003160F2">
              <w:rPr>
                <w:b w:val="0"/>
                <w:sz w:val="20"/>
                <w:szCs w:val="20"/>
              </w:rPr>
              <w:t>12.</w:t>
            </w:r>
            <w:r w:rsidR="00D464DA" w:rsidRPr="003160F2">
              <w:rPr>
                <w:b w:val="0"/>
                <w:sz w:val="20"/>
                <w:szCs w:val="20"/>
              </w:rPr>
              <w:t>4</w:t>
            </w:r>
          </w:p>
        </w:tc>
        <w:tc>
          <w:tcPr>
            <w:tcW w:w="529" w:type="pct"/>
            <w:shd w:val="clear" w:color="auto" w:fill="auto"/>
            <w:vAlign w:val="center"/>
          </w:tcPr>
          <w:p w14:paraId="3AA61559" w14:textId="79C81224" w:rsidR="00C72C6F" w:rsidRPr="003160F2" w:rsidRDefault="00D464DA" w:rsidP="003160F2">
            <w:pPr>
              <w:pStyle w:val="Un-numberedsubheading"/>
              <w:spacing w:after="0"/>
              <w:jc w:val="right"/>
              <w:rPr>
                <w:b w:val="0"/>
                <w:sz w:val="20"/>
                <w:szCs w:val="20"/>
              </w:rPr>
            </w:pPr>
            <w:r w:rsidRPr="003160F2">
              <w:rPr>
                <w:b w:val="0"/>
                <w:sz w:val="20"/>
                <w:szCs w:val="20"/>
              </w:rPr>
              <w:t>5.6</w:t>
            </w:r>
          </w:p>
        </w:tc>
      </w:tr>
      <w:tr w:rsidR="003C5A2B" w:rsidRPr="003160F2" w14:paraId="21A1EBD6" w14:textId="77777777" w:rsidTr="003160F2">
        <w:tc>
          <w:tcPr>
            <w:tcW w:w="1784" w:type="pct"/>
            <w:shd w:val="clear" w:color="auto" w:fill="auto"/>
          </w:tcPr>
          <w:p w14:paraId="29904E53" w14:textId="77777777" w:rsidR="00C72C6F" w:rsidRPr="003160F2" w:rsidRDefault="00EF2568" w:rsidP="00AB2EF5">
            <w:pPr>
              <w:pStyle w:val="Un-numberedsubheading"/>
              <w:spacing w:after="0"/>
              <w:rPr>
                <w:b w:val="0"/>
                <w:sz w:val="20"/>
                <w:szCs w:val="20"/>
              </w:rPr>
            </w:pPr>
            <w:r w:rsidRPr="003160F2">
              <w:rPr>
                <w:b w:val="0"/>
                <w:sz w:val="20"/>
                <w:szCs w:val="20"/>
              </w:rPr>
              <w:t>Material deprivation</w:t>
            </w:r>
          </w:p>
        </w:tc>
        <w:tc>
          <w:tcPr>
            <w:tcW w:w="538" w:type="pct"/>
            <w:shd w:val="clear" w:color="auto" w:fill="auto"/>
            <w:vAlign w:val="center"/>
          </w:tcPr>
          <w:p w14:paraId="2019926E" w14:textId="0B6CE159" w:rsidR="00C72C6F" w:rsidRPr="003160F2" w:rsidRDefault="00AB4D39" w:rsidP="003160F2">
            <w:pPr>
              <w:pStyle w:val="Un-numberedsubheading"/>
              <w:spacing w:after="0"/>
              <w:jc w:val="right"/>
              <w:rPr>
                <w:b w:val="0"/>
                <w:sz w:val="20"/>
                <w:szCs w:val="20"/>
              </w:rPr>
            </w:pPr>
            <w:r w:rsidRPr="003160F2">
              <w:rPr>
                <w:b w:val="0"/>
                <w:sz w:val="20"/>
                <w:szCs w:val="20"/>
              </w:rPr>
              <w:t>30.3</w:t>
            </w:r>
          </w:p>
        </w:tc>
        <w:tc>
          <w:tcPr>
            <w:tcW w:w="536" w:type="pct"/>
            <w:shd w:val="clear" w:color="auto" w:fill="auto"/>
            <w:vAlign w:val="center"/>
          </w:tcPr>
          <w:p w14:paraId="10135C5B" w14:textId="6B0DC6F5" w:rsidR="00C72C6F" w:rsidRPr="003160F2" w:rsidRDefault="004B3807" w:rsidP="003160F2">
            <w:pPr>
              <w:pStyle w:val="Un-numberedsubheading"/>
              <w:spacing w:after="0"/>
              <w:jc w:val="right"/>
              <w:rPr>
                <w:b w:val="0"/>
                <w:sz w:val="20"/>
                <w:szCs w:val="20"/>
              </w:rPr>
            </w:pPr>
            <w:r w:rsidRPr="003160F2">
              <w:rPr>
                <w:b w:val="0"/>
                <w:sz w:val="20"/>
                <w:szCs w:val="20"/>
              </w:rPr>
              <w:t>1</w:t>
            </w:r>
            <w:r w:rsidR="00AB4D39" w:rsidRPr="003160F2">
              <w:rPr>
                <w:b w:val="0"/>
                <w:sz w:val="20"/>
                <w:szCs w:val="20"/>
              </w:rPr>
              <w:t>8.3</w:t>
            </w:r>
          </w:p>
        </w:tc>
        <w:tc>
          <w:tcPr>
            <w:tcW w:w="538" w:type="pct"/>
            <w:shd w:val="clear" w:color="auto" w:fill="auto"/>
            <w:vAlign w:val="center"/>
          </w:tcPr>
          <w:p w14:paraId="51CAD318" w14:textId="0A96849E" w:rsidR="00C72C6F" w:rsidRPr="003160F2" w:rsidRDefault="00AB4D39" w:rsidP="003160F2">
            <w:pPr>
              <w:pStyle w:val="Un-numberedsubheading"/>
              <w:spacing w:after="0"/>
              <w:jc w:val="right"/>
              <w:rPr>
                <w:b w:val="0"/>
                <w:sz w:val="20"/>
                <w:szCs w:val="20"/>
              </w:rPr>
            </w:pPr>
            <w:r w:rsidRPr="003160F2">
              <w:rPr>
                <w:b w:val="0"/>
                <w:sz w:val="20"/>
                <w:szCs w:val="20"/>
              </w:rPr>
              <w:t>29.1</w:t>
            </w:r>
          </w:p>
        </w:tc>
        <w:tc>
          <w:tcPr>
            <w:tcW w:w="537" w:type="pct"/>
            <w:shd w:val="clear" w:color="auto" w:fill="auto"/>
            <w:vAlign w:val="center"/>
          </w:tcPr>
          <w:p w14:paraId="6D1116DC" w14:textId="4B6A4C2F" w:rsidR="00C72C6F" w:rsidRPr="003160F2" w:rsidRDefault="004B3807" w:rsidP="003160F2">
            <w:pPr>
              <w:pStyle w:val="Un-numberedsubheading"/>
              <w:spacing w:after="0"/>
              <w:jc w:val="right"/>
              <w:rPr>
                <w:b w:val="0"/>
                <w:sz w:val="20"/>
                <w:szCs w:val="20"/>
              </w:rPr>
            </w:pPr>
            <w:r w:rsidRPr="003160F2">
              <w:rPr>
                <w:b w:val="0"/>
                <w:sz w:val="20"/>
                <w:szCs w:val="20"/>
              </w:rPr>
              <w:t>18.</w:t>
            </w:r>
            <w:r w:rsidR="00AB4D39" w:rsidRPr="003160F2">
              <w:rPr>
                <w:b w:val="0"/>
                <w:sz w:val="20"/>
                <w:szCs w:val="20"/>
              </w:rPr>
              <w:t>0</w:t>
            </w:r>
          </w:p>
        </w:tc>
        <w:tc>
          <w:tcPr>
            <w:tcW w:w="538" w:type="pct"/>
            <w:shd w:val="clear" w:color="auto" w:fill="auto"/>
            <w:vAlign w:val="center"/>
          </w:tcPr>
          <w:p w14:paraId="43A6D947" w14:textId="47F9760C" w:rsidR="00C72C6F" w:rsidRPr="003160F2" w:rsidRDefault="004B3807" w:rsidP="003160F2">
            <w:pPr>
              <w:pStyle w:val="Un-numberedsubheading"/>
              <w:spacing w:after="0"/>
              <w:jc w:val="right"/>
              <w:rPr>
                <w:b w:val="0"/>
                <w:sz w:val="20"/>
                <w:szCs w:val="20"/>
              </w:rPr>
            </w:pPr>
            <w:r w:rsidRPr="003160F2">
              <w:rPr>
                <w:b w:val="0"/>
                <w:sz w:val="20"/>
                <w:szCs w:val="20"/>
              </w:rPr>
              <w:t>2</w:t>
            </w:r>
            <w:r w:rsidR="00AB4D39" w:rsidRPr="003160F2">
              <w:rPr>
                <w:b w:val="0"/>
                <w:sz w:val="20"/>
                <w:szCs w:val="20"/>
              </w:rPr>
              <w:t>8</w:t>
            </w:r>
            <w:r w:rsidRPr="003160F2">
              <w:rPr>
                <w:b w:val="0"/>
                <w:sz w:val="20"/>
                <w:szCs w:val="20"/>
              </w:rPr>
              <w:t>.1</w:t>
            </w:r>
          </w:p>
        </w:tc>
        <w:tc>
          <w:tcPr>
            <w:tcW w:w="529" w:type="pct"/>
            <w:shd w:val="clear" w:color="auto" w:fill="auto"/>
            <w:vAlign w:val="center"/>
          </w:tcPr>
          <w:p w14:paraId="72EA4D3C" w14:textId="4832956F" w:rsidR="00C72C6F" w:rsidRPr="003160F2" w:rsidRDefault="004B3807" w:rsidP="003160F2">
            <w:pPr>
              <w:pStyle w:val="Un-numberedsubheading"/>
              <w:spacing w:after="0"/>
              <w:jc w:val="right"/>
              <w:rPr>
                <w:b w:val="0"/>
                <w:sz w:val="20"/>
                <w:szCs w:val="20"/>
              </w:rPr>
            </w:pPr>
            <w:r w:rsidRPr="003160F2">
              <w:rPr>
                <w:b w:val="0"/>
                <w:sz w:val="20"/>
                <w:szCs w:val="20"/>
              </w:rPr>
              <w:t>1</w:t>
            </w:r>
            <w:r w:rsidR="00AB4D39" w:rsidRPr="003160F2">
              <w:rPr>
                <w:b w:val="0"/>
                <w:sz w:val="20"/>
                <w:szCs w:val="20"/>
              </w:rPr>
              <w:t>4.4</w:t>
            </w:r>
          </w:p>
        </w:tc>
      </w:tr>
      <w:tr w:rsidR="003C5A2B" w:rsidRPr="003160F2" w14:paraId="0AFD8CC4" w14:textId="77777777" w:rsidTr="003160F2">
        <w:tc>
          <w:tcPr>
            <w:tcW w:w="1784" w:type="pct"/>
            <w:shd w:val="clear" w:color="auto" w:fill="auto"/>
          </w:tcPr>
          <w:p w14:paraId="5BE14017" w14:textId="77777777" w:rsidR="00C72C6F" w:rsidRPr="003160F2" w:rsidRDefault="00EF2568" w:rsidP="00AB2EF5">
            <w:pPr>
              <w:pStyle w:val="Un-numberedsubheading"/>
              <w:spacing w:after="0"/>
              <w:rPr>
                <w:b w:val="0"/>
                <w:sz w:val="20"/>
                <w:szCs w:val="20"/>
              </w:rPr>
            </w:pPr>
            <w:r w:rsidRPr="003160F2">
              <w:rPr>
                <w:b w:val="0"/>
                <w:sz w:val="20"/>
                <w:szCs w:val="20"/>
              </w:rPr>
              <w:t>Severe material deprivation</w:t>
            </w:r>
          </w:p>
        </w:tc>
        <w:tc>
          <w:tcPr>
            <w:tcW w:w="538" w:type="pct"/>
            <w:shd w:val="clear" w:color="auto" w:fill="auto"/>
            <w:vAlign w:val="center"/>
          </w:tcPr>
          <w:p w14:paraId="6B6499E7" w14:textId="579B8C74" w:rsidR="00C72C6F" w:rsidRPr="003160F2" w:rsidRDefault="004B3807" w:rsidP="003160F2">
            <w:pPr>
              <w:pStyle w:val="Un-numberedsubheading"/>
              <w:spacing w:after="0"/>
              <w:jc w:val="right"/>
              <w:rPr>
                <w:b w:val="0"/>
                <w:sz w:val="20"/>
                <w:szCs w:val="20"/>
              </w:rPr>
            </w:pPr>
            <w:r w:rsidRPr="003160F2">
              <w:rPr>
                <w:b w:val="0"/>
                <w:sz w:val="20"/>
                <w:szCs w:val="20"/>
              </w:rPr>
              <w:t>1</w:t>
            </w:r>
            <w:r w:rsidR="00882749" w:rsidRPr="003160F2">
              <w:rPr>
                <w:b w:val="0"/>
                <w:sz w:val="20"/>
                <w:szCs w:val="20"/>
              </w:rPr>
              <w:t>2.6</w:t>
            </w:r>
          </w:p>
        </w:tc>
        <w:tc>
          <w:tcPr>
            <w:tcW w:w="536" w:type="pct"/>
            <w:shd w:val="clear" w:color="auto" w:fill="auto"/>
            <w:vAlign w:val="center"/>
          </w:tcPr>
          <w:p w14:paraId="0D71342C" w14:textId="056822C6" w:rsidR="00C72C6F" w:rsidRPr="003160F2" w:rsidRDefault="00882749" w:rsidP="003160F2">
            <w:pPr>
              <w:pStyle w:val="Un-numberedsubheading"/>
              <w:spacing w:after="0"/>
              <w:jc w:val="right"/>
              <w:rPr>
                <w:b w:val="0"/>
                <w:sz w:val="20"/>
                <w:szCs w:val="20"/>
              </w:rPr>
            </w:pPr>
            <w:r w:rsidRPr="003160F2">
              <w:rPr>
                <w:b w:val="0"/>
                <w:sz w:val="20"/>
                <w:szCs w:val="20"/>
              </w:rPr>
              <w:t>7.8</w:t>
            </w:r>
          </w:p>
        </w:tc>
        <w:tc>
          <w:tcPr>
            <w:tcW w:w="538" w:type="pct"/>
            <w:shd w:val="clear" w:color="auto" w:fill="auto"/>
            <w:vAlign w:val="center"/>
          </w:tcPr>
          <w:p w14:paraId="4AEB3C33" w14:textId="070AB73C" w:rsidR="00C72C6F" w:rsidRPr="003160F2" w:rsidRDefault="004B3807" w:rsidP="003160F2">
            <w:pPr>
              <w:pStyle w:val="Un-numberedsubheading"/>
              <w:spacing w:after="0"/>
              <w:jc w:val="right"/>
              <w:rPr>
                <w:b w:val="0"/>
                <w:sz w:val="20"/>
                <w:szCs w:val="20"/>
              </w:rPr>
            </w:pPr>
            <w:r w:rsidRPr="003160F2">
              <w:rPr>
                <w:b w:val="0"/>
                <w:sz w:val="20"/>
                <w:szCs w:val="20"/>
              </w:rPr>
              <w:t>12.</w:t>
            </w:r>
            <w:r w:rsidR="00882749" w:rsidRPr="003160F2">
              <w:rPr>
                <w:b w:val="0"/>
                <w:sz w:val="20"/>
                <w:szCs w:val="20"/>
              </w:rPr>
              <w:t>1</w:t>
            </w:r>
          </w:p>
        </w:tc>
        <w:tc>
          <w:tcPr>
            <w:tcW w:w="537" w:type="pct"/>
            <w:shd w:val="clear" w:color="auto" w:fill="auto"/>
            <w:vAlign w:val="center"/>
          </w:tcPr>
          <w:p w14:paraId="3D713D8E" w14:textId="41244034" w:rsidR="00C72C6F" w:rsidRPr="003160F2" w:rsidRDefault="00882749" w:rsidP="003160F2">
            <w:pPr>
              <w:pStyle w:val="Un-numberedsubheading"/>
              <w:spacing w:after="0"/>
              <w:jc w:val="right"/>
              <w:rPr>
                <w:b w:val="0"/>
                <w:sz w:val="20"/>
                <w:szCs w:val="20"/>
              </w:rPr>
            </w:pPr>
            <w:r w:rsidRPr="003160F2">
              <w:rPr>
                <w:b w:val="0"/>
                <w:sz w:val="20"/>
                <w:szCs w:val="20"/>
              </w:rPr>
              <w:t>8.3</w:t>
            </w:r>
          </w:p>
        </w:tc>
        <w:tc>
          <w:tcPr>
            <w:tcW w:w="538" w:type="pct"/>
            <w:shd w:val="clear" w:color="auto" w:fill="auto"/>
            <w:vAlign w:val="center"/>
          </w:tcPr>
          <w:p w14:paraId="3C533FF0" w14:textId="77777777" w:rsidR="00C72C6F" w:rsidRPr="003160F2" w:rsidRDefault="004B3807" w:rsidP="003160F2">
            <w:pPr>
              <w:pStyle w:val="Un-numberedsubheading"/>
              <w:spacing w:after="0"/>
              <w:jc w:val="right"/>
              <w:rPr>
                <w:b w:val="0"/>
                <w:sz w:val="20"/>
                <w:szCs w:val="20"/>
              </w:rPr>
            </w:pPr>
            <w:r w:rsidRPr="003160F2">
              <w:rPr>
                <w:b w:val="0"/>
                <w:sz w:val="20"/>
                <w:szCs w:val="20"/>
              </w:rPr>
              <w:t>12.1</w:t>
            </w:r>
          </w:p>
        </w:tc>
        <w:tc>
          <w:tcPr>
            <w:tcW w:w="529" w:type="pct"/>
            <w:shd w:val="clear" w:color="auto" w:fill="auto"/>
            <w:vAlign w:val="center"/>
          </w:tcPr>
          <w:p w14:paraId="60C89B60" w14:textId="26BFE8B4" w:rsidR="00C72C6F" w:rsidRPr="003160F2" w:rsidRDefault="00882749" w:rsidP="003160F2">
            <w:pPr>
              <w:pStyle w:val="Un-numberedsubheading"/>
              <w:spacing w:after="0"/>
              <w:jc w:val="right"/>
              <w:rPr>
                <w:b w:val="0"/>
                <w:sz w:val="20"/>
                <w:szCs w:val="20"/>
              </w:rPr>
            </w:pPr>
            <w:r w:rsidRPr="003160F2">
              <w:rPr>
                <w:b w:val="0"/>
                <w:sz w:val="20"/>
                <w:szCs w:val="20"/>
              </w:rPr>
              <w:t>6.2</w:t>
            </w:r>
          </w:p>
        </w:tc>
      </w:tr>
      <w:tr w:rsidR="003C5A2B" w:rsidRPr="003160F2" w14:paraId="3FE41E34" w14:textId="77777777" w:rsidTr="003160F2">
        <w:tc>
          <w:tcPr>
            <w:tcW w:w="1784" w:type="pct"/>
            <w:shd w:val="clear" w:color="auto" w:fill="auto"/>
          </w:tcPr>
          <w:p w14:paraId="3C0DFB58" w14:textId="77777777" w:rsidR="00C72C6F" w:rsidRPr="003160F2" w:rsidRDefault="00EF2568" w:rsidP="00AB2EF5">
            <w:pPr>
              <w:pStyle w:val="Un-numberedsubheading"/>
              <w:spacing w:after="0"/>
              <w:rPr>
                <w:b w:val="0"/>
                <w:sz w:val="20"/>
                <w:szCs w:val="20"/>
              </w:rPr>
            </w:pPr>
            <w:r w:rsidRPr="003160F2">
              <w:rPr>
                <w:b w:val="0"/>
                <w:sz w:val="20"/>
                <w:szCs w:val="20"/>
              </w:rPr>
              <w:t>Income from work</w:t>
            </w:r>
            <w:r w:rsidR="004B3807" w:rsidRPr="003160F2">
              <w:rPr>
                <w:b w:val="0"/>
                <w:sz w:val="20"/>
                <w:szCs w:val="20"/>
              </w:rPr>
              <w:t xml:space="preserve"> as a part of general income</w:t>
            </w:r>
          </w:p>
        </w:tc>
        <w:tc>
          <w:tcPr>
            <w:tcW w:w="538" w:type="pct"/>
            <w:shd w:val="clear" w:color="auto" w:fill="auto"/>
            <w:vAlign w:val="center"/>
          </w:tcPr>
          <w:p w14:paraId="7F702506" w14:textId="2B4F04C1" w:rsidR="00C72C6F" w:rsidRPr="003160F2" w:rsidRDefault="004B3807" w:rsidP="003160F2">
            <w:pPr>
              <w:pStyle w:val="Un-numberedsubheading"/>
              <w:spacing w:after="0"/>
              <w:jc w:val="right"/>
              <w:rPr>
                <w:b w:val="0"/>
                <w:sz w:val="20"/>
                <w:szCs w:val="20"/>
              </w:rPr>
            </w:pPr>
            <w:r w:rsidRPr="003160F2">
              <w:rPr>
                <w:b w:val="0"/>
                <w:sz w:val="20"/>
                <w:szCs w:val="20"/>
              </w:rPr>
              <w:t>6</w:t>
            </w:r>
            <w:r w:rsidR="00882749" w:rsidRPr="003160F2">
              <w:rPr>
                <w:b w:val="0"/>
                <w:sz w:val="20"/>
                <w:szCs w:val="20"/>
              </w:rPr>
              <w:t>1.9</w:t>
            </w:r>
          </w:p>
        </w:tc>
        <w:tc>
          <w:tcPr>
            <w:tcW w:w="536" w:type="pct"/>
            <w:shd w:val="clear" w:color="auto" w:fill="auto"/>
            <w:vAlign w:val="center"/>
          </w:tcPr>
          <w:p w14:paraId="0C495104" w14:textId="11761EE8" w:rsidR="00C72C6F" w:rsidRPr="003160F2" w:rsidRDefault="004B3807" w:rsidP="003160F2">
            <w:pPr>
              <w:pStyle w:val="Un-numberedsubheading"/>
              <w:spacing w:after="0"/>
              <w:jc w:val="right"/>
              <w:rPr>
                <w:b w:val="0"/>
                <w:sz w:val="20"/>
                <w:szCs w:val="20"/>
              </w:rPr>
            </w:pPr>
            <w:r w:rsidRPr="003160F2">
              <w:rPr>
                <w:b w:val="0"/>
                <w:sz w:val="20"/>
                <w:szCs w:val="20"/>
              </w:rPr>
              <w:t>8</w:t>
            </w:r>
            <w:r w:rsidR="00882749" w:rsidRPr="003160F2">
              <w:rPr>
                <w:b w:val="0"/>
                <w:sz w:val="20"/>
                <w:szCs w:val="20"/>
              </w:rPr>
              <w:t>4.3</w:t>
            </w:r>
          </w:p>
        </w:tc>
        <w:tc>
          <w:tcPr>
            <w:tcW w:w="538" w:type="pct"/>
            <w:shd w:val="clear" w:color="auto" w:fill="auto"/>
            <w:vAlign w:val="center"/>
          </w:tcPr>
          <w:p w14:paraId="73B5C76A" w14:textId="7B8C65FF" w:rsidR="00C72C6F" w:rsidRPr="003160F2" w:rsidRDefault="004B3807" w:rsidP="003160F2">
            <w:pPr>
              <w:pStyle w:val="Un-numberedsubheading"/>
              <w:spacing w:after="0"/>
              <w:jc w:val="right"/>
              <w:rPr>
                <w:b w:val="0"/>
                <w:sz w:val="20"/>
                <w:szCs w:val="20"/>
              </w:rPr>
            </w:pPr>
            <w:r w:rsidRPr="003160F2">
              <w:rPr>
                <w:b w:val="0"/>
                <w:sz w:val="20"/>
                <w:szCs w:val="20"/>
              </w:rPr>
              <w:t>6</w:t>
            </w:r>
            <w:r w:rsidR="00882749" w:rsidRPr="003160F2">
              <w:rPr>
                <w:b w:val="0"/>
                <w:sz w:val="20"/>
                <w:szCs w:val="20"/>
              </w:rPr>
              <w:t>4.0</w:t>
            </w:r>
          </w:p>
        </w:tc>
        <w:tc>
          <w:tcPr>
            <w:tcW w:w="537" w:type="pct"/>
            <w:shd w:val="clear" w:color="auto" w:fill="auto"/>
            <w:vAlign w:val="center"/>
          </w:tcPr>
          <w:p w14:paraId="1FB019DB" w14:textId="5431DEEC" w:rsidR="00C72C6F" w:rsidRPr="003160F2" w:rsidRDefault="004B3807" w:rsidP="003160F2">
            <w:pPr>
              <w:pStyle w:val="Un-numberedsubheading"/>
              <w:spacing w:after="0"/>
              <w:jc w:val="right"/>
              <w:rPr>
                <w:b w:val="0"/>
                <w:sz w:val="20"/>
                <w:szCs w:val="20"/>
              </w:rPr>
            </w:pPr>
            <w:r w:rsidRPr="003160F2">
              <w:rPr>
                <w:b w:val="0"/>
                <w:sz w:val="20"/>
                <w:szCs w:val="20"/>
              </w:rPr>
              <w:t>8</w:t>
            </w:r>
            <w:r w:rsidR="00882749" w:rsidRPr="003160F2">
              <w:rPr>
                <w:b w:val="0"/>
                <w:sz w:val="20"/>
                <w:szCs w:val="20"/>
              </w:rPr>
              <w:t>6.1</w:t>
            </w:r>
          </w:p>
        </w:tc>
        <w:tc>
          <w:tcPr>
            <w:tcW w:w="538" w:type="pct"/>
            <w:shd w:val="clear" w:color="auto" w:fill="auto"/>
            <w:vAlign w:val="center"/>
          </w:tcPr>
          <w:p w14:paraId="41DCB336" w14:textId="1841E42B" w:rsidR="00C72C6F" w:rsidRPr="003160F2" w:rsidRDefault="004B3807" w:rsidP="003160F2">
            <w:pPr>
              <w:pStyle w:val="Un-numberedsubheading"/>
              <w:spacing w:after="0"/>
              <w:jc w:val="right"/>
              <w:rPr>
                <w:b w:val="0"/>
                <w:sz w:val="20"/>
                <w:szCs w:val="20"/>
              </w:rPr>
            </w:pPr>
            <w:r w:rsidRPr="003160F2">
              <w:rPr>
                <w:b w:val="0"/>
                <w:sz w:val="20"/>
                <w:szCs w:val="20"/>
              </w:rPr>
              <w:t>64.</w:t>
            </w:r>
            <w:r w:rsidR="00882749" w:rsidRPr="003160F2">
              <w:rPr>
                <w:b w:val="0"/>
                <w:sz w:val="20"/>
                <w:szCs w:val="20"/>
              </w:rPr>
              <w:t>1</w:t>
            </w:r>
          </w:p>
        </w:tc>
        <w:tc>
          <w:tcPr>
            <w:tcW w:w="529" w:type="pct"/>
            <w:shd w:val="clear" w:color="auto" w:fill="auto"/>
            <w:vAlign w:val="center"/>
          </w:tcPr>
          <w:p w14:paraId="4AD3F17D" w14:textId="77777777" w:rsidR="00C72C6F" w:rsidRPr="003160F2" w:rsidRDefault="004B3807" w:rsidP="003160F2">
            <w:pPr>
              <w:pStyle w:val="Un-numberedsubheading"/>
              <w:spacing w:after="0"/>
              <w:jc w:val="right"/>
              <w:rPr>
                <w:b w:val="0"/>
                <w:sz w:val="20"/>
                <w:szCs w:val="20"/>
              </w:rPr>
            </w:pPr>
            <w:r w:rsidRPr="003160F2">
              <w:rPr>
                <w:b w:val="0"/>
                <w:sz w:val="20"/>
                <w:szCs w:val="20"/>
              </w:rPr>
              <w:t>86.1</w:t>
            </w:r>
          </w:p>
        </w:tc>
      </w:tr>
      <w:tr w:rsidR="003C5A2B" w:rsidRPr="003160F2" w14:paraId="2B538455" w14:textId="77777777" w:rsidTr="003160F2">
        <w:tc>
          <w:tcPr>
            <w:tcW w:w="1784" w:type="pct"/>
            <w:shd w:val="clear" w:color="auto" w:fill="auto"/>
          </w:tcPr>
          <w:p w14:paraId="2D6789E8" w14:textId="77777777" w:rsidR="00C72C6F" w:rsidRPr="003160F2" w:rsidRDefault="00EF2568" w:rsidP="00AB2EF5">
            <w:pPr>
              <w:pStyle w:val="Un-numberedsubheading"/>
              <w:spacing w:after="0"/>
              <w:rPr>
                <w:b w:val="0"/>
                <w:sz w:val="20"/>
                <w:szCs w:val="20"/>
              </w:rPr>
            </w:pPr>
            <w:r w:rsidRPr="003160F2">
              <w:rPr>
                <w:b w:val="0"/>
                <w:sz w:val="20"/>
                <w:szCs w:val="20"/>
              </w:rPr>
              <w:t>Income from social benefits</w:t>
            </w:r>
            <w:r w:rsidR="004B3807" w:rsidRPr="003160F2">
              <w:rPr>
                <w:b w:val="0"/>
                <w:sz w:val="20"/>
                <w:szCs w:val="20"/>
              </w:rPr>
              <w:t xml:space="preserve"> as a part of general income</w:t>
            </w:r>
          </w:p>
        </w:tc>
        <w:tc>
          <w:tcPr>
            <w:tcW w:w="538" w:type="pct"/>
            <w:shd w:val="clear" w:color="auto" w:fill="auto"/>
            <w:vAlign w:val="center"/>
          </w:tcPr>
          <w:p w14:paraId="78225B06" w14:textId="32DB16B2" w:rsidR="00C72C6F" w:rsidRPr="003160F2" w:rsidRDefault="004B3807" w:rsidP="003160F2">
            <w:pPr>
              <w:pStyle w:val="Un-numberedsubheading"/>
              <w:spacing w:after="0"/>
              <w:jc w:val="right"/>
              <w:rPr>
                <w:b w:val="0"/>
                <w:sz w:val="20"/>
                <w:szCs w:val="20"/>
              </w:rPr>
            </w:pPr>
            <w:r w:rsidRPr="003160F2">
              <w:rPr>
                <w:b w:val="0"/>
                <w:sz w:val="20"/>
                <w:szCs w:val="20"/>
              </w:rPr>
              <w:t>3</w:t>
            </w:r>
            <w:r w:rsidR="0026388D" w:rsidRPr="003160F2">
              <w:rPr>
                <w:b w:val="0"/>
                <w:sz w:val="20"/>
                <w:szCs w:val="20"/>
              </w:rPr>
              <w:t>7.2</w:t>
            </w:r>
          </w:p>
        </w:tc>
        <w:tc>
          <w:tcPr>
            <w:tcW w:w="536" w:type="pct"/>
            <w:shd w:val="clear" w:color="auto" w:fill="auto"/>
            <w:vAlign w:val="center"/>
          </w:tcPr>
          <w:p w14:paraId="590AFBE6" w14:textId="1A0272AC" w:rsidR="00C72C6F" w:rsidRPr="003160F2" w:rsidRDefault="004B3807" w:rsidP="003160F2">
            <w:pPr>
              <w:pStyle w:val="Un-numberedsubheading"/>
              <w:spacing w:after="0"/>
              <w:jc w:val="right"/>
              <w:rPr>
                <w:b w:val="0"/>
                <w:sz w:val="20"/>
                <w:szCs w:val="20"/>
              </w:rPr>
            </w:pPr>
            <w:r w:rsidRPr="003160F2">
              <w:rPr>
                <w:b w:val="0"/>
                <w:sz w:val="20"/>
                <w:szCs w:val="20"/>
              </w:rPr>
              <w:t>1</w:t>
            </w:r>
            <w:r w:rsidR="0026388D" w:rsidRPr="003160F2">
              <w:rPr>
                <w:b w:val="0"/>
                <w:sz w:val="20"/>
                <w:szCs w:val="20"/>
              </w:rPr>
              <w:t>4.6</w:t>
            </w:r>
          </w:p>
        </w:tc>
        <w:tc>
          <w:tcPr>
            <w:tcW w:w="538" w:type="pct"/>
            <w:shd w:val="clear" w:color="auto" w:fill="auto"/>
            <w:vAlign w:val="center"/>
          </w:tcPr>
          <w:p w14:paraId="156E972D" w14:textId="6AF5F950" w:rsidR="00C72C6F" w:rsidRPr="003160F2" w:rsidRDefault="004B3807" w:rsidP="003160F2">
            <w:pPr>
              <w:pStyle w:val="Un-numberedsubheading"/>
              <w:spacing w:after="0"/>
              <w:jc w:val="right"/>
              <w:rPr>
                <w:b w:val="0"/>
                <w:sz w:val="20"/>
                <w:szCs w:val="20"/>
              </w:rPr>
            </w:pPr>
            <w:r w:rsidRPr="003160F2">
              <w:rPr>
                <w:b w:val="0"/>
                <w:sz w:val="20"/>
                <w:szCs w:val="20"/>
              </w:rPr>
              <w:t>3</w:t>
            </w:r>
            <w:r w:rsidR="0026388D" w:rsidRPr="003160F2">
              <w:rPr>
                <w:b w:val="0"/>
                <w:sz w:val="20"/>
                <w:szCs w:val="20"/>
              </w:rPr>
              <w:t>5.4</w:t>
            </w:r>
          </w:p>
        </w:tc>
        <w:tc>
          <w:tcPr>
            <w:tcW w:w="537" w:type="pct"/>
            <w:shd w:val="clear" w:color="auto" w:fill="auto"/>
            <w:vAlign w:val="center"/>
          </w:tcPr>
          <w:p w14:paraId="4EAA4D0C" w14:textId="796A612E" w:rsidR="00C72C6F" w:rsidRPr="003160F2" w:rsidRDefault="004B3807" w:rsidP="003160F2">
            <w:pPr>
              <w:pStyle w:val="Un-numberedsubheading"/>
              <w:spacing w:after="0"/>
              <w:jc w:val="right"/>
              <w:rPr>
                <w:b w:val="0"/>
                <w:sz w:val="20"/>
                <w:szCs w:val="20"/>
              </w:rPr>
            </w:pPr>
            <w:r w:rsidRPr="003160F2">
              <w:rPr>
                <w:b w:val="0"/>
                <w:sz w:val="20"/>
                <w:szCs w:val="20"/>
              </w:rPr>
              <w:t>1</w:t>
            </w:r>
            <w:r w:rsidR="0026388D" w:rsidRPr="003160F2">
              <w:rPr>
                <w:b w:val="0"/>
                <w:sz w:val="20"/>
                <w:szCs w:val="20"/>
              </w:rPr>
              <w:t>3.0</w:t>
            </w:r>
          </w:p>
        </w:tc>
        <w:tc>
          <w:tcPr>
            <w:tcW w:w="538" w:type="pct"/>
            <w:shd w:val="clear" w:color="auto" w:fill="auto"/>
            <w:vAlign w:val="center"/>
          </w:tcPr>
          <w:p w14:paraId="765AABEF" w14:textId="011F09F1" w:rsidR="00C72C6F" w:rsidRPr="003160F2" w:rsidRDefault="004B3807" w:rsidP="003160F2">
            <w:pPr>
              <w:pStyle w:val="Un-numberedsubheading"/>
              <w:spacing w:after="0"/>
              <w:jc w:val="right"/>
              <w:rPr>
                <w:b w:val="0"/>
                <w:sz w:val="20"/>
                <w:szCs w:val="20"/>
              </w:rPr>
            </w:pPr>
            <w:r w:rsidRPr="003160F2">
              <w:rPr>
                <w:b w:val="0"/>
                <w:sz w:val="20"/>
                <w:szCs w:val="20"/>
              </w:rPr>
              <w:t>35.</w:t>
            </w:r>
            <w:r w:rsidR="0026388D" w:rsidRPr="003160F2">
              <w:rPr>
                <w:b w:val="0"/>
                <w:sz w:val="20"/>
                <w:szCs w:val="20"/>
              </w:rPr>
              <w:t>3</w:t>
            </w:r>
          </w:p>
        </w:tc>
        <w:tc>
          <w:tcPr>
            <w:tcW w:w="529" w:type="pct"/>
            <w:shd w:val="clear" w:color="auto" w:fill="auto"/>
            <w:vAlign w:val="center"/>
          </w:tcPr>
          <w:p w14:paraId="0F82E338" w14:textId="77777777" w:rsidR="00C72C6F" w:rsidRPr="003160F2" w:rsidRDefault="004B3807" w:rsidP="003160F2">
            <w:pPr>
              <w:pStyle w:val="Un-numberedsubheading"/>
              <w:spacing w:after="0"/>
              <w:jc w:val="right"/>
              <w:rPr>
                <w:b w:val="0"/>
                <w:sz w:val="20"/>
                <w:szCs w:val="20"/>
              </w:rPr>
            </w:pPr>
            <w:r w:rsidRPr="003160F2">
              <w:rPr>
                <w:b w:val="0"/>
                <w:sz w:val="20"/>
                <w:szCs w:val="20"/>
              </w:rPr>
              <w:t>13.0</w:t>
            </w:r>
          </w:p>
        </w:tc>
      </w:tr>
      <w:tr w:rsidR="003C5A2B" w:rsidRPr="003160F2" w14:paraId="4CD9EE94" w14:textId="77777777" w:rsidTr="003160F2">
        <w:tc>
          <w:tcPr>
            <w:tcW w:w="1784" w:type="pct"/>
            <w:shd w:val="clear" w:color="auto" w:fill="auto"/>
          </w:tcPr>
          <w:p w14:paraId="3E087211" w14:textId="77777777" w:rsidR="00C72C6F" w:rsidRPr="003160F2" w:rsidRDefault="00EF2568" w:rsidP="00AB2EF5">
            <w:pPr>
              <w:pStyle w:val="Un-numberedsubheading"/>
              <w:spacing w:after="0"/>
              <w:rPr>
                <w:b w:val="0"/>
                <w:sz w:val="20"/>
                <w:szCs w:val="20"/>
              </w:rPr>
            </w:pPr>
            <w:r w:rsidRPr="003160F2">
              <w:rPr>
                <w:b w:val="0"/>
                <w:sz w:val="20"/>
                <w:szCs w:val="20"/>
              </w:rPr>
              <w:t>Household</w:t>
            </w:r>
            <w:r w:rsidR="004B3807" w:rsidRPr="003160F2">
              <w:rPr>
                <w:b w:val="0"/>
                <w:sz w:val="20"/>
                <w:szCs w:val="20"/>
              </w:rPr>
              <w:t>s</w:t>
            </w:r>
            <w:r w:rsidRPr="003160F2">
              <w:rPr>
                <w:b w:val="0"/>
                <w:sz w:val="20"/>
                <w:szCs w:val="20"/>
              </w:rPr>
              <w:t xml:space="preserve"> without dependent children</w:t>
            </w:r>
          </w:p>
        </w:tc>
        <w:tc>
          <w:tcPr>
            <w:tcW w:w="538" w:type="pct"/>
            <w:shd w:val="clear" w:color="auto" w:fill="auto"/>
            <w:vAlign w:val="center"/>
          </w:tcPr>
          <w:p w14:paraId="650CD110" w14:textId="1ECD0924" w:rsidR="00C72C6F" w:rsidRPr="003160F2" w:rsidRDefault="0026388D" w:rsidP="003160F2">
            <w:pPr>
              <w:pStyle w:val="Un-numberedsubheading"/>
              <w:spacing w:after="0"/>
              <w:jc w:val="right"/>
              <w:rPr>
                <w:b w:val="0"/>
                <w:sz w:val="20"/>
                <w:szCs w:val="20"/>
              </w:rPr>
            </w:pPr>
            <w:r w:rsidRPr="003160F2">
              <w:rPr>
                <w:b w:val="0"/>
                <w:sz w:val="20"/>
                <w:szCs w:val="20"/>
              </w:rPr>
              <w:t>68.1</w:t>
            </w:r>
          </w:p>
        </w:tc>
        <w:tc>
          <w:tcPr>
            <w:tcW w:w="536" w:type="pct"/>
            <w:shd w:val="clear" w:color="auto" w:fill="auto"/>
            <w:vAlign w:val="center"/>
          </w:tcPr>
          <w:p w14:paraId="37BD3951" w14:textId="3AE47276" w:rsidR="00C72C6F" w:rsidRPr="003160F2" w:rsidRDefault="004B3807" w:rsidP="003160F2">
            <w:pPr>
              <w:pStyle w:val="Un-numberedsubheading"/>
              <w:spacing w:after="0"/>
              <w:jc w:val="right"/>
              <w:rPr>
                <w:b w:val="0"/>
                <w:sz w:val="20"/>
                <w:szCs w:val="20"/>
              </w:rPr>
            </w:pPr>
            <w:r w:rsidRPr="003160F2">
              <w:rPr>
                <w:b w:val="0"/>
                <w:sz w:val="20"/>
                <w:szCs w:val="20"/>
              </w:rPr>
              <w:t>4</w:t>
            </w:r>
            <w:r w:rsidR="0026388D" w:rsidRPr="003160F2">
              <w:rPr>
                <w:b w:val="0"/>
                <w:sz w:val="20"/>
                <w:szCs w:val="20"/>
              </w:rPr>
              <w:t>6.8</w:t>
            </w:r>
          </w:p>
        </w:tc>
        <w:tc>
          <w:tcPr>
            <w:tcW w:w="538" w:type="pct"/>
            <w:shd w:val="clear" w:color="auto" w:fill="auto"/>
            <w:vAlign w:val="center"/>
          </w:tcPr>
          <w:p w14:paraId="714C9E7B" w14:textId="6907E9AD" w:rsidR="00C72C6F" w:rsidRPr="003160F2" w:rsidRDefault="0026388D" w:rsidP="003160F2">
            <w:pPr>
              <w:pStyle w:val="Un-numberedsubheading"/>
              <w:spacing w:after="0"/>
              <w:jc w:val="right"/>
              <w:rPr>
                <w:b w:val="0"/>
                <w:sz w:val="20"/>
                <w:szCs w:val="20"/>
              </w:rPr>
            </w:pPr>
            <w:r w:rsidRPr="003160F2">
              <w:rPr>
                <w:b w:val="0"/>
                <w:sz w:val="20"/>
                <w:szCs w:val="20"/>
              </w:rPr>
              <w:t>73.0</w:t>
            </w:r>
          </w:p>
        </w:tc>
        <w:tc>
          <w:tcPr>
            <w:tcW w:w="537" w:type="pct"/>
            <w:shd w:val="clear" w:color="auto" w:fill="auto"/>
            <w:vAlign w:val="center"/>
          </w:tcPr>
          <w:p w14:paraId="2368CE85" w14:textId="6F9C7B0B" w:rsidR="00C72C6F" w:rsidRPr="003160F2" w:rsidRDefault="0026388D" w:rsidP="003160F2">
            <w:pPr>
              <w:pStyle w:val="Un-numberedsubheading"/>
              <w:spacing w:after="0"/>
              <w:jc w:val="right"/>
              <w:rPr>
                <w:b w:val="0"/>
                <w:sz w:val="20"/>
                <w:szCs w:val="20"/>
              </w:rPr>
            </w:pPr>
            <w:r w:rsidRPr="003160F2">
              <w:rPr>
                <w:b w:val="0"/>
                <w:sz w:val="20"/>
                <w:szCs w:val="20"/>
              </w:rPr>
              <w:t>52.5</w:t>
            </w:r>
            <w:r w:rsidR="004B3807" w:rsidRPr="003160F2">
              <w:rPr>
                <w:b w:val="0"/>
                <w:sz w:val="20"/>
                <w:szCs w:val="20"/>
              </w:rPr>
              <w:t xml:space="preserve"> </w:t>
            </w:r>
          </w:p>
        </w:tc>
        <w:tc>
          <w:tcPr>
            <w:tcW w:w="538" w:type="pct"/>
            <w:shd w:val="clear" w:color="auto" w:fill="auto"/>
            <w:vAlign w:val="center"/>
          </w:tcPr>
          <w:p w14:paraId="06C78548" w14:textId="61295619" w:rsidR="00C72C6F" w:rsidRPr="003160F2" w:rsidRDefault="004B3807" w:rsidP="003160F2">
            <w:pPr>
              <w:pStyle w:val="Un-numberedsubheading"/>
              <w:spacing w:after="0"/>
              <w:jc w:val="right"/>
              <w:rPr>
                <w:b w:val="0"/>
                <w:sz w:val="20"/>
                <w:szCs w:val="20"/>
              </w:rPr>
            </w:pPr>
            <w:r w:rsidRPr="003160F2">
              <w:rPr>
                <w:b w:val="0"/>
                <w:sz w:val="20"/>
                <w:szCs w:val="20"/>
              </w:rPr>
              <w:t>7</w:t>
            </w:r>
            <w:r w:rsidR="0026388D" w:rsidRPr="003160F2">
              <w:rPr>
                <w:b w:val="0"/>
                <w:sz w:val="20"/>
                <w:szCs w:val="20"/>
              </w:rPr>
              <w:t>2,3</w:t>
            </w:r>
          </w:p>
        </w:tc>
        <w:tc>
          <w:tcPr>
            <w:tcW w:w="529" w:type="pct"/>
            <w:shd w:val="clear" w:color="auto" w:fill="auto"/>
            <w:vAlign w:val="center"/>
          </w:tcPr>
          <w:p w14:paraId="2F50E124" w14:textId="09D8D5BA" w:rsidR="00C72C6F" w:rsidRPr="003160F2" w:rsidRDefault="0026388D" w:rsidP="003160F2">
            <w:pPr>
              <w:pStyle w:val="Un-numberedsubheading"/>
              <w:spacing w:after="0"/>
              <w:jc w:val="right"/>
              <w:rPr>
                <w:b w:val="0"/>
                <w:sz w:val="20"/>
                <w:szCs w:val="20"/>
              </w:rPr>
            </w:pPr>
            <w:r w:rsidRPr="003160F2">
              <w:rPr>
                <w:b w:val="0"/>
                <w:sz w:val="20"/>
                <w:szCs w:val="20"/>
              </w:rPr>
              <w:t>49,8</w:t>
            </w:r>
          </w:p>
        </w:tc>
      </w:tr>
    </w:tbl>
    <w:p w14:paraId="5FA28F10" w14:textId="5D825F95" w:rsidR="00F662B7" w:rsidRPr="005A62BD" w:rsidRDefault="004B3807" w:rsidP="00AB2EF5">
      <w:pPr>
        <w:pStyle w:val="Un-numberedsubheading"/>
        <w:spacing w:after="0"/>
        <w:rPr>
          <w:b w:val="0"/>
          <w:i/>
          <w:iCs/>
        </w:rPr>
      </w:pPr>
      <w:r w:rsidRPr="005A62BD">
        <w:rPr>
          <w:b w:val="0"/>
          <w:i/>
          <w:iCs/>
        </w:rPr>
        <w:t>Source: Statistical Office of the SR (</w:t>
      </w:r>
      <w:proofErr w:type="spellStart"/>
      <w:r w:rsidRPr="005A62BD">
        <w:rPr>
          <w:b w:val="0"/>
          <w:i/>
          <w:iCs/>
        </w:rPr>
        <w:t>Informácie</w:t>
      </w:r>
      <w:proofErr w:type="spellEnd"/>
      <w:r w:rsidRPr="005A62BD">
        <w:rPr>
          <w:b w:val="0"/>
          <w:i/>
          <w:iCs/>
        </w:rPr>
        <w:t>, 2015, unpublished document)</w:t>
      </w:r>
      <w:r w:rsidR="003B54BB">
        <w:rPr>
          <w:b w:val="0"/>
          <w:i/>
          <w:iCs/>
        </w:rPr>
        <w:t>.</w:t>
      </w:r>
    </w:p>
    <w:p w14:paraId="7A5736D8" w14:textId="77777777" w:rsidR="003C390B" w:rsidRPr="005A62BD" w:rsidRDefault="003C390B" w:rsidP="00AB2EF5">
      <w:pPr>
        <w:pStyle w:val="Un-numberedsubheading"/>
        <w:spacing w:after="0"/>
        <w:rPr>
          <w:b w:val="0"/>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995"/>
        <w:gridCol w:w="991"/>
        <w:gridCol w:w="995"/>
        <w:gridCol w:w="992"/>
        <w:gridCol w:w="995"/>
        <w:gridCol w:w="977"/>
      </w:tblGrid>
      <w:tr w:rsidR="007238CE" w:rsidRPr="003160F2" w14:paraId="71B0C705" w14:textId="77777777" w:rsidTr="007238CE">
        <w:tc>
          <w:tcPr>
            <w:tcW w:w="9242" w:type="dxa"/>
            <w:gridSpan w:val="7"/>
            <w:shd w:val="clear" w:color="auto" w:fill="auto"/>
            <w:vAlign w:val="center"/>
          </w:tcPr>
          <w:p w14:paraId="7EDFFB18" w14:textId="77777777" w:rsidR="007238CE" w:rsidRPr="003160F2" w:rsidRDefault="007238CE" w:rsidP="00AB2EF5">
            <w:pPr>
              <w:pStyle w:val="Un-numberedsubheading"/>
              <w:spacing w:after="0"/>
              <w:rPr>
                <w:b w:val="0"/>
                <w:i/>
                <w:sz w:val="20"/>
                <w:szCs w:val="20"/>
              </w:rPr>
            </w:pPr>
            <w:r w:rsidRPr="003160F2">
              <w:rPr>
                <w:bCs/>
                <w:sz w:val="20"/>
                <w:szCs w:val="20"/>
              </w:rPr>
              <w:lastRenderedPageBreak/>
              <w:t>Selected EU SILC individuals with disabilities´ indicators (in %)</w:t>
            </w:r>
          </w:p>
        </w:tc>
      </w:tr>
      <w:tr w:rsidR="003C5A2B" w:rsidRPr="003160F2" w14:paraId="64605F2E" w14:textId="77777777" w:rsidTr="007238CE">
        <w:tc>
          <w:tcPr>
            <w:tcW w:w="3297" w:type="dxa"/>
            <w:vMerge w:val="restart"/>
            <w:shd w:val="clear" w:color="auto" w:fill="auto"/>
            <w:vAlign w:val="center"/>
          </w:tcPr>
          <w:p w14:paraId="25CFFC09" w14:textId="77777777" w:rsidR="004B3807" w:rsidRPr="003160F2" w:rsidRDefault="004B3807" w:rsidP="00AB2EF5">
            <w:pPr>
              <w:pStyle w:val="Un-numberedsubheading"/>
              <w:spacing w:after="0"/>
              <w:rPr>
                <w:b w:val="0"/>
                <w:i/>
                <w:sz w:val="20"/>
                <w:szCs w:val="20"/>
              </w:rPr>
            </w:pPr>
            <w:r w:rsidRPr="003160F2">
              <w:rPr>
                <w:b w:val="0"/>
                <w:i/>
                <w:sz w:val="20"/>
                <w:szCs w:val="20"/>
              </w:rPr>
              <w:t>Indicator</w:t>
            </w:r>
          </w:p>
        </w:tc>
        <w:tc>
          <w:tcPr>
            <w:tcW w:w="1986" w:type="dxa"/>
            <w:gridSpan w:val="2"/>
            <w:shd w:val="clear" w:color="auto" w:fill="auto"/>
            <w:vAlign w:val="center"/>
          </w:tcPr>
          <w:p w14:paraId="3704AA6E" w14:textId="5E8BEF79" w:rsidR="004B3807" w:rsidRPr="003160F2" w:rsidRDefault="004B3807" w:rsidP="00AB2EF5">
            <w:pPr>
              <w:pStyle w:val="Un-numberedsubheading"/>
              <w:spacing w:after="0"/>
              <w:rPr>
                <w:b w:val="0"/>
                <w:i/>
                <w:sz w:val="20"/>
                <w:szCs w:val="20"/>
              </w:rPr>
            </w:pPr>
            <w:r w:rsidRPr="003160F2">
              <w:rPr>
                <w:b w:val="0"/>
                <w:i/>
                <w:sz w:val="20"/>
                <w:szCs w:val="20"/>
              </w:rPr>
              <w:t>EU SILC 201</w:t>
            </w:r>
            <w:r w:rsidR="001804D4" w:rsidRPr="003160F2">
              <w:rPr>
                <w:b w:val="0"/>
                <w:i/>
                <w:sz w:val="20"/>
                <w:szCs w:val="20"/>
              </w:rPr>
              <w:t>3</w:t>
            </w:r>
          </w:p>
        </w:tc>
        <w:tc>
          <w:tcPr>
            <w:tcW w:w="1987" w:type="dxa"/>
            <w:gridSpan w:val="2"/>
            <w:shd w:val="clear" w:color="auto" w:fill="auto"/>
            <w:vAlign w:val="center"/>
          </w:tcPr>
          <w:p w14:paraId="490B0A8A" w14:textId="396EE9EC" w:rsidR="004B3807" w:rsidRPr="003160F2" w:rsidRDefault="004B3807" w:rsidP="00AB2EF5">
            <w:pPr>
              <w:pStyle w:val="Un-numberedsubheading"/>
              <w:spacing w:after="0"/>
              <w:rPr>
                <w:b w:val="0"/>
                <w:i/>
                <w:sz w:val="20"/>
                <w:szCs w:val="20"/>
              </w:rPr>
            </w:pPr>
            <w:r w:rsidRPr="003160F2">
              <w:rPr>
                <w:b w:val="0"/>
                <w:i/>
                <w:sz w:val="20"/>
                <w:szCs w:val="20"/>
              </w:rPr>
              <w:t>EU SILC 201</w:t>
            </w:r>
            <w:r w:rsidR="001804D4" w:rsidRPr="003160F2">
              <w:rPr>
                <w:b w:val="0"/>
                <w:i/>
                <w:sz w:val="20"/>
                <w:szCs w:val="20"/>
              </w:rPr>
              <w:t>4</w:t>
            </w:r>
          </w:p>
        </w:tc>
        <w:tc>
          <w:tcPr>
            <w:tcW w:w="1972" w:type="dxa"/>
            <w:gridSpan w:val="2"/>
            <w:shd w:val="clear" w:color="auto" w:fill="auto"/>
            <w:vAlign w:val="center"/>
          </w:tcPr>
          <w:p w14:paraId="47A01C09" w14:textId="6F10CAF6" w:rsidR="004B3807" w:rsidRPr="003160F2" w:rsidRDefault="004B3807" w:rsidP="00AB2EF5">
            <w:pPr>
              <w:pStyle w:val="Un-numberedsubheading"/>
              <w:spacing w:after="0"/>
              <w:rPr>
                <w:b w:val="0"/>
                <w:i/>
                <w:sz w:val="20"/>
                <w:szCs w:val="20"/>
              </w:rPr>
            </w:pPr>
            <w:r w:rsidRPr="003160F2">
              <w:rPr>
                <w:b w:val="0"/>
                <w:i/>
                <w:sz w:val="20"/>
                <w:szCs w:val="20"/>
              </w:rPr>
              <w:t>EU SILC 201</w:t>
            </w:r>
            <w:r w:rsidR="001804D4" w:rsidRPr="003160F2">
              <w:rPr>
                <w:b w:val="0"/>
                <w:i/>
                <w:sz w:val="20"/>
                <w:szCs w:val="20"/>
              </w:rPr>
              <w:t>5</w:t>
            </w:r>
          </w:p>
        </w:tc>
      </w:tr>
      <w:tr w:rsidR="003C5A2B" w:rsidRPr="003160F2" w14:paraId="5A4584DF" w14:textId="77777777" w:rsidTr="007238CE">
        <w:tc>
          <w:tcPr>
            <w:tcW w:w="3297" w:type="dxa"/>
            <w:vMerge/>
            <w:shd w:val="clear" w:color="auto" w:fill="auto"/>
          </w:tcPr>
          <w:p w14:paraId="603066B6" w14:textId="77777777" w:rsidR="004B3807" w:rsidRPr="003160F2" w:rsidRDefault="004B3807" w:rsidP="00AB2EF5">
            <w:pPr>
              <w:pStyle w:val="Un-numberedsubheading"/>
              <w:spacing w:after="0"/>
              <w:rPr>
                <w:b w:val="0"/>
                <w:sz w:val="20"/>
                <w:szCs w:val="20"/>
              </w:rPr>
            </w:pPr>
          </w:p>
        </w:tc>
        <w:tc>
          <w:tcPr>
            <w:tcW w:w="995" w:type="dxa"/>
            <w:shd w:val="clear" w:color="auto" w:fill="auto"/>
            <w:vAlign w:val="center"/>
          </w:tcPr>
          <w:p w14:paraId="3BE14FC0" w14:textId="77777777" w:rsidR="004B3807" w:rsidRPr="003160F2" w:rsidRDefault="004B3807" w:rsidP="00AB2EF5">
            <w:pPr>
              <w:pStyle w:val="Un-numberedsubheading"/>
              <w:spacing w:after="0"/>
              <w:rPr>
                <w:b w:val="0"/>
                <w:i/>
                <w:sz w:val="20"/>
                <w:szCs w:val="20"/>
              </w:rPr>
            </w:pPr>
            <w:r w:rsidRPr="003160F2">
              <w:rPr>
                <w:b w:val="0"/>
                <w:i/>
                <w:sz w:val="20"/>
                <w:szCs w:val="20"/>
              </w:rPr>
              <w:t>Disabled</w:t>
            </w:r>
          </w:p>
        </w:tc>
        <w:tc>
          <w:tcPr>
            <w:tcW w:w="991" w:type="dxa"/>
            <w:shd w:val="clear" w:color="auto" w:fill="auto"/>
            <w:vAlign w:val="center"/>
          </w:tcPr>
          <w:p w14:paraId="4DBD4759" w14:textId="77777777" w:rsidR="004B3807" w:rsidRPr="003160F2" w:rsidRDefault="004B3807" w:rsidP="00AB2EF5">
            <w:pPr>
              <w:pStyle w:val="Un-numberedsubheading"/>
              <w:spacing w:after="0"/>
              <w:rPr>
                <w:b w:val="0"/>
                <w:i/>
                <w:sz w:val="20"/>
                <w:szCs w:val="20"/>
              </w:rPr>
            </w:pPr>
            <w:r w:rsidRPr="003160F2">
              <w:rPr>
                <w:b w:val="0"/>
                <w:i/>
                <w:sz w:val="20"/>
                <w:szCs w:val="20"/>
              </w:rPr>
              <w:t>Non-disabled</w:t>
            </w:r>
          </w:p>
        </w:tc>
        <w:tc>
          <w:tcPr>
            <w:tcW w:w="995" w:type="dxa"/>
            <w:shd w:val="clear" w:color="auto" w:fill="auto"/>
            <w:vAlign w:val="center"/>
          </w:tcPr>
          <w:p w14:paraId="71670FEC" w14:textId="77777777" w:rsidR="004B3807" w:rsidRPr="003160F2" w:rsidRDefault="004B3807" w:rsidP="00AB2EF5">
            <w:pPr>
              <w:pStyle w:val="Un-numberedsubheading"/>
              <w:spacing w:after="0"/>
              <w:rPr>
                <w:b w:val="0"/>
                <w:i/>
                <w:sz w:val="20"/>
                <w:szCs w:val="20"/>
              </w:rPr>
            </w:pPr>
            <w:r w:rsidRPr="003160F2">
              <w:rPr>
                <w:b w:val="0"/>
                <w:i/>
                <w:sz w:val="20"/>
                <w:szCs w:val="20"/>
              </w:rPr>
              <w:t>Disabled</w:t>
            </w:r>
          </w:p>
        </w:tc>
        <w:tc>
          <w:tcPr>
            <w:tcW w:w="992" w:type="dxa"/>
            <w:shd w:val="clear" w:color="auto" w:fill="auto"/>
            <w:vAlign w:val="center"/>
          </w:tcPr>
          <w:p w14:paraId="19DAD4D6" w14:textId="77777777" w:rsidR="004B3807" w:rsidRPr="003160F2" w:rsidRDefault="004B3807" w:rsidP="00AB2EF5">
            <w:pPr>
              <w:pStyle w:val="Un-numberedsubheading"/>
              <w:spacing w:after="0"/>
              <w:rPr>
                <w:b w:val="0"/>
                <w:i/>
                <w:sz w:val="20"/>
                <w:szCs w:val="20"/>
              </w:rPr>
            </w:pPr>
            <w:r w:rsidRPr="003160F2">
              <w:rPr>
                <w:b w:val="0"/>
                <w:i/>
                <w:sz w:val="20"/>
                <w:szCs w:val="20"/>
              </w:rPr>
              <w:t>Non-disabled</w:t>
            </w:r>
          </w:p>
        </w:tc>
        <w:tc>
          <w:tcPr>
            <w:tcW w:w="995" w:type="dxa"/>
            <w:shd w:val="clear" w:color="auto" w:fill="auto"/>
            <w:vAlign w:val="center"/>
          </w:tcPr>
          <w:p w14:paraId="7B23D235" w14:textId="77777777" w:rsidR="004B3807" w:rsidRPr="003160F2" w:rsidRDefault="004B3807" w:rsidP="00AB2EF5">
            <w:pPr>
              <w:pStyle w:val="Un-numberedsubheading"/>
              <w:spacing w:after="0"/>
              <w:rPr>
                <w:b w:val="0"/>
                <w:i/>
                <w:sz w:val="20"/>
                <w:szCs w:val="20"/>
              </w:rPr>
            </w:pPr>
            <w:r w:rsidRPr="003160F2">
              <w:rPr>
                <w:b w:val="0"/>
                <w:i/>
                <w:sz w:val="20"/>
                <w:szCs w:val="20"/>
              </w:rPr>
              <w:t>Disabled</w:t>
            </w:r>
          </w:p>
        </w:tc>
        <w:tc>
          <w:tcPr>
            <w:tcW w:w="977" w:type="dxa"/>
            <w:shd w:val="clear" w:color="auto" w:fill="auto"/>
            <w:vAlign w:val="center"/>
          </w:tcPr>
          <w:p w14:paraId="28442B80" w14:textId="77777777" w:rsidR="004B3807" w:rsidRPr="003160F2" w:rsidRDefault="004B3807" w:rsidP="00AB2EF5">
            <w:pPr>
              <w:pStyle w:val="Un-numberedsubheading"/>
              <w:spacing w:after="0"/>
              <w:rPr>
                <w:b w:val="0"/>
                <w:i/>
                <w:sz w:val="20"/>
                <w:szCs w:val="20"/>
              </w:rPr>
            </w:pPr>
            <w:r w:rsidRPr="003160F2">
              <w:rPr>
                <w:b w:val="0"/>
                <w:i/>
                <w:sz w:val="20"/>
                <w:szCs w:val="20"/>
              </w:rPr>
              <w:t>Non-disabled</w:t>
            </w:r>
          </w:p>
        </w:tc>
      </w:tr>
      <w:tr w:rsidR="003C5A2B" w:rsidRPr="003160F2" w14:paraId="685C7F23" w14:textId="77777777" w:rsidTr="003160F2">
        <w:tc>
          <w:tcPr>
            <w:tcW w:w="3297" w:type="dxa"/>
            <w:shd w:val="clear" w:color="auto" w:fill="auto"/>
          </w:tcPr>
          <w:p w14:paraId="380741C5" w14:textId="77777777" w:rsidR="004B3807" w:rsidRPr="003160F2" w:rsidRDefault="004B3807" w:rsidP="00AB2EF5">
            <w:pPr>
              <w:pStyle w:val="Un-numberedsubheading"/>
              <w:spacing w:after="0"/>
              <w:rPr>
                <w:b w:val="0"/>
                <w:sz w:val="20"/>
                <w:szCs w:val="20"/>
              </w:rPr>
            </w:pPr>
            <w:r w:rsidRPr="003160F2">
              <w:rPr>
                <w:b w:val="0"/>
                <w:sz w:val="20"/>
                <w:szCs w:val="20"/>
              </w:rPr>
              <w:t>Risk of poverty</w:t>
            </w:r>
          </w:p>
        </w:tc>
        <w:tc>
          <w:tcPr>
            <w:tcW w:w="995" w:type="dxa"/>
            <w:shd w:val="clear" w:color="auto" w:fill="auto"/>
            <w:vAlign w:val="center"/>
          </w:tcPr>
          <w:p w14:paraId="0972E57B" w14:textId="72474377" w:rsidR="004B3807" w:rsidRPr="003160F2" w:rsidRDefault="002126FE" w:rsidP="003160F2">
            <w:pPr>
              <w:pStyle w:val="Un-numberedsubheading"/>
              <w:spacing w:after="0"/>
              <w:jc w:val="right"/>
              <w:rPr>
                <w:b w:val="0"/>
                <w:sz w:val="20"/>
                <w:szCs w:val="20"/>
              </w:rPr>
            </w:pPr>
            <w:r w:rsidRPr="003160F2">
              <w:rPr>
                <w:b w:val="0"/>
                <w:sz w:val="20"/>
                <w:szCs w:val="20"/>
              </w:rPr>
              <w:t>12.</w:t>
            </w:r>
            <w:r w:rsidR="001804D4" w:rsidRPr="003160F2">
              <w:rPr>
                <w:b w:val="0"/>
                <w:sz w:val="20"/>
                <w:szCs w:val="20"/>
              </w:rPr>
              <w:t>3</w:t>
            </w:r>
          </w:p>
        </w:tc>
        <w:tc>
          <w:tcPr>
            <w:tcW w:w="991" w:type="dxa"/>
            <w:shd w:val="clear" w:color="auto" w:fill="auto"/>
            <w:vAlign w:val="center"/>
          </w:tcPr>
          <w:p w14:paraId="17DA5B08" w14:textId="32F40F10" w:rsidR="004B3807" w:rsidRPr="003160F2" w:rsidRDefault="002126FE" w:rsidP="003160F2">
            <w:pPr>
              <w:pStyle w:val="Un-numberedsubheading"/>
              <w:spacing w:after="0"/>
              <w:jc w:val="right"/>
              <w:rPr>
                <w:b w:val="0"/>
                <w:sz w:val="20"/>
                <w:szCs w:val="20"/>
              </w:rPr>
            </w:pPr>
            <w:r w:rsidRPr="003160F2">
              <w:rPr>
                <w:b w:val="0"/>
                <w:sz w:val="20"/>
                <w:szCs w:val="20"/>
              </w:rPr>
              <w:t>11.</w:t>
            </w:r>
            <w:r w:rsidR="001804D4" w:rsidRPr="003160F2">
              <w:rPr>
                <w:b w:val="0"/>
                <w:sz w:val="20"/>
                <w:szCs w:val="20"/>
              </w:rPr>
              <w:t>2</w:t>
            </w:r>
          </w:p>
        </w:tc>
        <w:tc>
          <w:tcPr>
            <w:tcW w:w="995" w:type="dxa"/>
            <w:shd w:val="clear" w:color="auto" w:fill="auto"/>
            <w:vAlign w:val="center"/>
          </w:tcPr>
          <w:p w14:paraId="2EE2EFFD" w14:textId="57F2A2C4" w:rsidR="004B3807" w:rsidRPr="003160F2" w:rsidRDefault="002126FE" w:rsidP="003160F2">
            <w:pPr>
              <w:pStyle w:val="Un-numberedsubheading"/>
              <w:spacing w:after="0"/>
              <w:jc w:val="right"/>
              <w:rPr>
                <w:b w:val="0"/>
                <w:sz w:val="20"/>
                <w:szCs w:val="20"/>
              </w:rPr>
            </w:pPr>
            <w:r w:rsidRPr="003160F2">
              <w:rPr>
                <w:b w:val="0"/>
                <w:sz w:val="20"/>
                <w:szCs w:val="20"/>
              </w:rPr>
              <w:t>1</w:t>
            </w:r>
            <w:r w:rsidR="001804D4" w:rsidRPr="003160F2">
              <w:rPr>
                <w:b w:val="0"/>
                <w:sz w:val="20"/>
                <w:szCs w:val="20"/>
              </w:rPr>
              <w:t>1,2</w:t>
            </w:r>
          </w:p>
        </w:tc>
        <w:tc>
          <w:tcPr>
            <w:tcW w:w="992" w:type="dxa"/>
            <w:shd w:val="clear" w:color="auto" w:fill="auto"/>
            <w:vAlign w:val="center"/>
          </w:tcPr>
          <w:p w14:paraId="531D8B96" w14:textId="125B1DC3" w:rsidR="004B3807" w:rsidRPr="003160F2" w:rsidRDefault="002126FE" w:rsidP="003160F2">
            <w:pPr>
              <w:pStyle w:val="Un-numberedsubheading"/>
              <w:spacing w:after="0"/>
              <w:jc w:val="right"/>
              <w:rPr>
                <w:b w:val="0"/>
                <w:sz w:val="20"/>
                <w:szCs w:val="20"/>
              </w:rPr>
            </w:pPr>
            <w:r w:rsidRPr="003160F2">
              <w:rPr>
                <w:b w:val="0"/>
                <w:sz w:val="20"/>
                <w:szCs w:val="20"/>
              </w:rPr>
              <w:t>11.</w:t>
            </w:r>
            <w:r w:rsidR="001804D4" w:rsidRPr="003160F2">
              <w:rPr>
                <w:b w:val="0"/>
                <w:sz w:val="20"/>
                <w:szCs w:val="20"/>
              </w:rPr>
              <w:t>4</w:t>
            </w:r>
          </w:p>
        </w:tc>
        <w:tc>
          <w:tcPr>
            <w:tcW w:w="995" w:type="dxa"/>
            <w:shd w:val="clear" w:color="auto" w:fill="auto"/>
            <w:vAlign w:val="center"/>
          </w:tcPr>
          <w:p w14:paraId="2F80C8B1" w14:textId="4C916C2D" w:rsidR="004B3807" w:rsidRPr="003160F2" w:rsidRDefault="002126FE" w:rsidP="003160F2">
            <w:pPr>
              <w:pStyle w:val="Un-numberedsubheading"/>
              <w:spacing w:after="0"/>
              <w:jc w:val="right"/>
              <w:rPr>
                <w:b w:val="0"/>
                <w:sz w:val="20"/>
                <w:szCs w:val="20"/>
              </w:rPr>
            </w:pPr>
            <w:r w:rsidRPr="003160F2">
              <w:rPr>
                <w:b w:val="0"/>
                <w:sz w:val="20"/>
                <w:szCs w:val="20"/>
              </w:rPr>
              <w:t>1</w:t>
            </w:r>
            <w:r w:rsidR="001804D4" w:rsidRPr="003160F2">
              <w:rPr>
                <w:b w:val="0"/>
                <w:sz w:val="20"/>
                <w:szCs w:val="20"/>
              </w:rPr>
              <w:t>0,9</w:t>
            </w:r>
          </w:p>
        </w:tc>
        <w:tc>
          <w:tcPr>
            <w:tcW w:w="977" w:type="dxa"/>
            <w:shd w:val="clear" w:color="auto" w:fill="auto"/>
            <w:vAlign w:val="center"/>
          </w:tcPr>
          <w:p w14:paraId="7AA007E9" w14:textId="01EFC5E1" w:rsidR="004B3807" w:rsidRPr="003160F2" w:rsidRDefault="002126FE" w:rsidP="003160F2">
            <w:pPr>
              <w:pStyle w:val="Un-numberedsubheading"/>
              <w:spacing w:after="0"/>
              <w:jc w:val="right"/>
              <w:rPr>
                <w:b w:val="0"/>
                <w:sz w:val="20"/>
                <w:szCs w:val="20"/>
              </w:rPr>
            </w:pPr>
            <w:r w:rsidRPr="003160F2">
              <w:rPr>
                <w:b w:val="0"/>
                <w:sz w:val="20"/>
                <w:szCs w:val="20"/>
              </w:rPr>
              <w:t>1</w:t>
            </w:r>
            <w:r w:rsidR="001804D4" w:rsidRPr="003160F2">
              <w:rPr>
                <w:b w:val="0"/>
                <w:sz w:val="20"/>
                <w:szCs w:val="20"/>
              </w:rPr>
              <w:t>0,5</w:t>
            </w:r>
          </w:p>
        </w:tc>
      </w:tr>
      <w:tr w:rsidR="003C5A2B" w:rsidRPr="003160F2" w14:paraId="6B1FF5C0" w14:textId="77777777" w:rsidTr="003160F2">
        <w:tc>
          <w:tcPr>
            <w:tcW w:w="3297" w:type="dxa"/>
            <w:shd w:val="clear" w:color="auto" w:fill="auto"/>
          </w:tcPr>
          <w:p w14:paraId="3F86478B" w14:textId="77777777" w:rsidR="004B3807" w:rsidRPr="003160F2" w:rsidRDefault="004B3807" w:rsidP="00AB2EF5">
            <w:pPr>
              <w:pStyle w:val="Un-numberedsubheading"/>
              <w:spacing w:after="0"/>
              <w:rPr>
                <w:b w:val="0"/>
                <w:sz w:val="20"/>
                <w:szCs w:val="20"/>
              </w:rPr>
            </w:pPr>
            <w:r w:rsidRPr="003160F2">
              <w:rPr>
                <w:b w:val="0"/>
                <w:sz w:val="20"/>
                <w:szCs w:val="20"/>
              </w:rPr>
              <w:t>Material deprivation</w:t>
            </w:r>
          </w:p>
        </w:tc>
        <w:tc>
          <w:tcPr>
            <w:tcW w:w="995" w:type="dxa"/>
            <w:shd w:val="clear" w:color="auto" w:fill="auto"/>
            <w:vAlign w:val="center"/>
          </w:tcPr>
          <w:p w14:paraId="1D737391" w14:textId="6686FFCF" w:rsidR="004B3807" w:rsidRPr="003160F2" w:rsidRDefault="002126FE" w:rsidP="003160F2">
            <w:pPr>
              <w:pStyle w:val="Un-numberedsubheading"/>
              <w:spacing w:after="0"/>
              <w:jc w:val="right"/>
              <w:rPr>
                <w:b w:val="0"/>
                <w:sz w:val="20"/>
                <w:szCs w:val="20"/>
              </w:rPr>
            </w:pPr>
            <w:r w:rsidRPr="003160F2">
              <w:rPr>
                <w:b w:val="0"/>
                <w:sz w:val="20"/>
                <w:szCs w:val="20"/>
              </w:rPr>
              <w:t>29.</w:t>
            </w:r>
            <w:r w:rsidR="001804D4" w:rsidRPr="003160F2">
              <w:rPr>
                <w:b w:val="0"/>
                <w:sz w:val="20"/>
                <w:szCs w:val="20"/>
              </w:rPr>
              <w:t>9</w:t>
            </w:r>
          </w:p>
        </w:tc>
        <w:tc>
          <w:tcPr>
            <w:tcW w:w="991" w:type="dxa"/>
            <w:shd w:val="clear" w:color="auto" w:fill="auto"/>
            <w:vAlign w:val="center"/>
          </w:tcPr>
          <w:p w14:paraId="712553DF" w14:textId="64109572" w:rsidR="004B3807" w:rsidRPr="003160F2" w:rsidRDefault="001804D4" w:rsidP="003160F2">
            <w:pPr>
              <w:pStyle w:val="Un-numberedsubheading"/>
              <w:spacing w:after="0"/>
              <w:jc w:val="right"/>
              <w:rPr>
                <w:b w:val="0"/>
                <w:sz w:val="20"/>
                <w:szCs w:val="20"/>
              </w:rPr>
            </w:pPr>
            <w:r w:rsidRPr="003160F2">
              <w:rPr>
                <w:b w:val="0"/>
                <w:sz w:val="20"/>
                <w:szCs w:val="20"/>
              </w:rPr>
              <w:t>20.0</w:t>
            </w:r>
          </w:p>
        </w:tc>
        <w:tc>
          <w:tcPr>
            <w:tcW w:w="995" w:type="dxa"/>
            <w:shd w:val="clear" w:color="auto" w:fill="auto"/>
            <w:vAlign w:val="center"/>
          </w:tcPr>
          <w:p w14:paraId="400F75D1" w14:textId="6B4220CF" w:rsidR="004B3807" w:rsidRPr="003160F2" w:rsidRDefault="002126FE" w:rsidP="003160F2">
            <w:pPr>
              <w:pStyle w:val="Un-numberedsubheading"/>
              <w:spacing w:after="0"/>
              <w:jc w:val="right"/>
              <w:rPr>
                <w:b w:val="0"/>
                <w:sz w:val="20"/>
                <w:szCs w:val="20"/>
              </w:rPr>
            </w:pPr>
            <w:r w:rsidRPr="003160F2">
              <w:rPr>
                <w:b w:val="0"/>
                <w:sz w:val="20"/>
                <w:szCs w:val="20"/>
              </w:rPr>
              <w:t>2</w:t>
            </w:r>
            <w:r w:rsidR="001804D4" w:rsidRPr="003160F2">
              <w:rPr>
                <w:b w:val="0"/>
                <w:sz w:val="20"/>
                <w:szCs w:val="20"/>
              </w:rPr>
              <w:t>7.8</w:t>
            </w:r>
          </w:p>
        </w:tc>
        <w:tc>
          <w:tcPr>
            <w:tcW w:w="992" w:type="dxa"/>
            <w:shd w:val="clear" w:color="auto" w:fill="auto"/>
            <w:vAlign w:val="center"/>
          </w:tcPr>
          <w:p w14:paraId="2C27AAAB" w14:textId="62F1A2B4" w:rsidR="004B3807" w:rsidRPr="003160F2" w:rsidRDefault="001804D4" w:rsidP="003160F2">
            <w:pPr>
              <w:pStyle w:val="Un-numberedsubheading"/>
              <w:spacing w:after="0"/>
              <w:jc w:val="right"/>
              <w:rPr>
                <w:b w:val="0"/>
                <w:sz w:val="20"/>
                <w:szCs w:val="20"/>
              </w:rPr>
            </w:pPr>
            <w:r w:rsidRPr="003160F2">
              <w:rPr>
                <w:b w:val="0"/>
                <w:sz w:val="20"/>
                <w:szCs w:val="20"/>
              </w:rPr>
              <w:t>18.9</w:t>
            </w:r>
          </w:p>
        </w:tc>
        <w:tc>
          <w:tcPr>
            <w:tcW w:w="995" w:type="dxa"/>
            <w:shd w:val="clear" w:color="auto" w:fill="auto"/>
            <w:vAlign w:val="center"/>
          </w:tcPr>
          <w:p w14:paraId="08CB3080" w14:textId="6AFBB6D1" w:rsidR="004B3807" w:rsidRPr="003160F2" w:rsidRDefault="002126FE" w:rsidP="003160F2">
            <w:pPr>
              <w:pStyle w:val="Un-numberedsubheading"/>
              <w:spacing w:after="0"/>
              <w:jc w:val="right"/>
              <w:rPr>
                <w:b w:val="0"/>
                <w:sz w:val="20"/>
                <w:szCs w:val="20"/>
              </w:rPr>
            </w:pPr>
            <w:r w:rsidRPr="003160F2">
              <w:rPr>
                <w:b w:val="0"/>
                <w:sz w:val="20"/>
                <w:szCs w:val="20"/>
              </w:rPr>
              <w:t>27.</w:t>
            </w:r>
            <w:r w:rsidR="001804D4" w:rsidRPr="003160F2">
              <w:rPr>
                <w:b w:val="0"/>
                <w:sz w:val="20"/>
                <w:szCs w:val="20"/>
              </w:rPr>
              <w:t>9</w:t>
            </w:r>
          </w:p>
        </w:tc>
        <w:tc>
          <w:tcPr>
            <w:tcW w:w="977" w:type="dxa"/>
            <w:shd w:val="clear" w:color="auto" w:fill="auto"/>
            <w:vAlign w:val="center"/>
          </w:tcPr>
          <w:p w14:paraId="761051D3" w14:textId="55A1718D" w:rsidR="004B3807" w:rsidRPr="003160F2" w:rsidRDefault="002126FE" w:rsidP="003160F2">
            <w:pPr>
              <w:pStyle w:val="Un-numberedsubheading"/>
              <w:spacing w:after="0"/>
              <w:jc w:val="right"/>
              <w:rPr>
                <w:b w:val="0"/>
                <w:sz w:val="20"/>
                <w:szCs w:val="20"/>
              </w:rPr>
            </w:pPr>
            <w:r w:rsidRPr="003160F2">
              <w:rPr>
                <w:b w:val="0"/>
                <w:sz w:val="20"/>
                <w:szCs w:val="20"/>
              </w:rPr>
              <w:t>1</w:t>
            </w:r>
            <w:r w:rsidR="001804D4" w:rsidRPr="003160F2">
              <w:rPr>
                <w:b w:val="0"/>
                <w:sz w:val="20"/>
                <w:szCs w:val="20"/>
              </w:rPr>
              <w:t>6.3</w:t>
            </w:r>
          </w:p>
        </w:tc>
      </w:tr>
      <w:tr w:rsidR="003C5A2B" w:rsidRPr="003160F2" w14:paraId="635DF2F3" w14:textId="77777777" w:rsidTr="003160F2">
        <w:tc>
          <w:tcPr>
            <w:tcW w:w="3297" w:type="dxa"/>
            <w:shd w:val="clear" w:color="auto" w:fill="auto"/>
          </w:tcPr>
          <w:p w14:paraId="4423A862" w14:textId="77777777" w:rsidR="004B3807" w:rsidRPr="003160F2" w:rsidRDefault="004B3807" w:rsidP="00AB2EF5">
            <w:pPr>
              <w:pStyle w:val="Un-numberedsubheading"/>
              <w:spacing w:after="0"/>
              <w:rPr>
                <w:b w:val="0"/>
                <w:sz w:val="20"/>
                <w:szCs w:val="20"/>
              </w:rPr>
            </w:pPr>
            <w:r w:rsidRPr="003160F2">
              <w:rPr>
                <w:b w:val="0"/>
                <w:sz w:val="20"/>
                <w:szCs w:val="20"/>
              </w:rPr>
              <w:t>Severe material deprivation</w:t>
            </w:r>
          </w:p>
        </w:tc>
        <w:tc>
          <w:tcPr>
            <w:tcW w:w="995" w:type="dxa"/>
            <w:shd w:val="clear" w:color="auto" w:fill="auto"/>
            <w:vAlign w:val="center"/>
          </w:tcPr>
          <w:p w14:paraId="26FF8527" w14:textId="2D8E1134" w:rsidR="004B3807" w:rsidRPr="003160F2" w:rsidRDefault="002126FE" w:rsidP="003160F2">
            <w:pPr>
              <w:pStyle w:val="Un-numberedsubheading"/>
              <w:spacing w:after="0"/>
              <w:jc w:val="right"/>
              <w:rPr>
                <w:b w:val="0"/>
                <w:sz w:val="20"/>
                <w:szCs w:val="20"/>
              </w:rPr>
            </w:pPr>
            <w:r w:rsidRPr="003160F2">
              <w:rPr>
                <w:b w:val="0"/>
                <w:sz w:val="20"/>
                <w:szCs w:val="20"/>
              </w:rPr>
              <w:t>1</w:t>
            </w:r>
            <w:r w:rsidR="001B6309" w:rsidRPr="003160F2">
              <w:rPr>
                <w:b w:val="0"/>
                <w:sz w:val="20"/>
                <w:szCs w:val="20"/>
              </w:rPr>
              <w:t>2.6</w:t>
            </w:r>
          </w:p>
        </w:tc>
        <w:tc>
          <w:tcPr>
            <w:tcW w:w="991" w:type="dxa"/>
            <w:shd w:val="clear" w:color="auto" w:fill="auto"/>
            <w:vAlign w:val="center"/>
          </w:tcPr>
          <w:p w14:paraId="33A402EF" w14:textId="3E36CFB5" w:rsidR="004B3807" w:rsidRPr="003160F2" w:rsidRDefault="002126FE" w:rsidP="003160F2">
            <w:pPr>
              <w:pStyle w:val="Un-numberedsubheading"/>
              <w:spacing w:after="0"/>
              <w:jc w:val="right"/>
              <w:rPr>
                <w:b w:val="0"/>
                <w:sz w:val="20"/>
                <w:szCs w:val="20"/>
              </w:rPr>
            </w:pPr>
            <w:r w:rsidRPr="003160F2">
              <w:rPr>
                <w:b w:val="0"/>
                <w:sz w:val="20"/>
                <w:szCs w:val="20"/>
              </w:rPr>
              <w:t>8.</w:t>
            </w:r>
            <w:r w:rsidR="001B6309" w:rsidRPr="003160F2">
              <w:rPr>
                <w:b w:val="0"/>
                <w:sz w:val="20"/>
                <w:szCs w:val="20"/>
              </w:rPr>
              <w:t>5</w:t>
            </w:r>
          </w:p>
        </w:tc>
        <w:tc>
          <w:tcPr>
            <w:tcW w:w="995" w:type="dxa"/>
            <w:shd w:val="clear" w:color="auto" w:fill="auto"/>
            <w:vAlign w:val="center"/>
          </w:tcPr>
          <w:p w14:paraId="36115587" w14:textId="57CB2819" w:rsidR="004B3807" w:rsidRPr="003160F2" w:rsidRDefault="002126FE" w:rsidP="003160F2">
            <w:pPr>
              <w:pStyle w:val="Un-numberedsubheading"/>
              <w:spacing w:after="0"/>
              <w:jc w:val="right"/>
              <w:rPr>
                <w:b w:val="0"/>
                <w:sz w:val="20"/>
                <w:szCs w:val="20"/>
              </w:rPr>
            </w:pPr>
            <w:r w:rsidRPr="003160F2">
              <w:rPr>
                <w:b w:val="0"/>
                <w:sz w:val="20"/>
                <w:szCs w:val="20"/>
              </w:rPr>
              <w:t>1</w:t>
            </w:r>
            <w:r w:rsidR="001B6309" w:rsidRPr="003160F2">
              <w:rPr>
                <w:b w:val="0"/>
                <w:sz w:val="20"/>
                <w:szCs w:val="20"/>
              </w:rPr>
              <w:t>1</w:t>
            </w:r>
            <w:r w:rsidRPr="003160F2">
              <w:rPr>
                <w:b w:val="0"/>
                <w:sz w:val="20"/>
                <w:szCs w:val="20"/>
              </w:rPr>
              <w:t>.6</w:t>
            </w:r>
          </w:p>
        </w:tc>
        <w:tc>
          <w:tcPr>
            <w:tcW w:w="992" w:type="dxa"/>
            <w:shd w:val="clear" w:color="auto" w:fill="auto"/>
            <w:vAlign w:val="center"/>
          </w:tcPr>
          <w:p w14:paraId="520AF98D" w14:textId="77777777" w:rsidR="004B3807" w:rsidRPr="003160F2" w:rsidRDefault="002126FE" w:rsidP="003160F2">
            <w:pPr>
              <w:pStyle w:val="Un-numberedsubheading"/>
              <w:spacing w:after="0"/>
              <w:jc w:val="right"/>
              <w:rPr>
                <w:b w:val="0"/>
                <w:sz w:val="20"/>
                <w:szCs w:val="20"/>
              </w:rPr>
            </w:pPr>
            <w:r w:rsidRPr="003160F2">
              <w:rPr>
                <w:b w:val="0"/>
                <w:sz w:val="20"/>
                <w:szCs w:val="20"/>
              </w:rPr>
              <w:t>8.5</w:t>
            </w:r>
          </w:p>
        </w:tc>
        <w:tc>
          <w:tcPr>
            <w:tcW w:w="995" w:type="dxa"/>
            <w:shd w:val="clear" w:color="auto" w:fill="auto"/>
            <w:vAlign w:val="center"/>
          </w:tcPr>
          <w:p w14:paraId="0A148A71" w14:textId="27CE1CA7" w:rsidR="004B3807" w:rsidRPr="003160F2" w:rsidRDefault="002126FE" w:rsidP="003160F2">
            <w:pPr>
              <w:pStyle w:val="Un-numberedsubheading"/>
              <w:spacing w:after="0"/>
              <w:jc w:val="right"/>
              <w:rPr>
                <w:b w:val="0"/>
                <w:sz w:val="20"/>
                <w:szCs w:val="20"/>
              </w:rPr>
            </w:pPr>
            <w:r w:rsidRPr="003160F2">
              <w:rPr>
                <w:b w:val="0"/>
                <w:sz w:val="20"/>
                <w:szCs w:val="20"/>
              </w:rPr>
              <w:t>1</w:t>
            </w:r>
            <w:r w:rsidR="001B6309" w:rsidRPr="003160F2">
              <w:rPr>
                <w:b w:val="0"/>
                <w:sz w:val="20"/>
                <w:szCs w:val="20"/>
              </w:rPr>
              <w:t>2.5</w:t>
            </w:r>
          </w:p>
        </w:tc>
        <w:tc>
          <w:tcPr>
            <w:tcW w:w="977" w:type="dxa"/>
            <w:shd w:val="clear" w:color="auto" w:fill="auto"/>
            <w:vAlign w:val="center"/>
          </w:tcPr>
          <w:p w14:paraId="510FB9F6" w14:textId="292DF6C8" w:rsidR="004B3807" w:rsidRPr="003160F2" w:rsidRDefault="001B6309" w:rsidP="003160F2">
            <w:pPr>
              <w:pStyle w:val="Un-numberedsubheading"/>
              <w:spacing w:after="0"/>
              <w:jc w:val="right"/>
              <w:rPr>
                <w:b w:val="0"/>
                <w:sz w:val="20"/>
                <w:szCs w:val="20"/>
              </w:rPr>
            </w:pPr>
            <w:r w:rsidRPr="003160F2">
              <w:rPr>
                <w:b w:val="0"/>
                <w:sz w:val="20"/>
                <w:szCs w:val="20"/>
              </w:rPr>
              <w:t>6.8</w:t>
            </w:r>
          </w:p>
        </w:tc>
      </w:tr>
      <w:tr w:rsidR="003C5A2B" w:rsidRPr="003160F2" w14:paraId="37118DA8" w14:textId="77777777" w:rsidTr="003160F2">
        <w:tc>
          <w:tcPr>
            <w:tcW w:w="3297" w:type="dxa"/>
            <w:shd w:val="clear" w:color="auto" w:fill="auto"/>
          </w:tcPr>
          <w:p w14:paraId="263E334A" w14:textId="77777777" w:rsidR="004B3807" w:rsidRPr="003160F2" w:rsidRDefault="002126FE" w:rsidP="00AB2EF5">
            <w:pPr>
              <w:pStyle w:val="Un-numberedsubheading"/>
              <w:spacing w:after="0"/>
              <w:rPr>
                <w:b w:val="0"/>
                <w:sz w:val="20"/>
                <w:szCs w:val="20"/>
              </w:rPr>
            </w:pPr>
            <w:r w:rsidRPr="003160F2">
              <w:rPr>
                <w:b w:val="0"/>
                <w:sz w:val="20"/>
                <w:szCs w:val="20"/>
              </w:rPr>
              <w:t xml:space="preserve">Risk of poverty and social exclusion </w:t>
            </w:r>
          </w:p>
        </w:tc>
        <w:tc>
          <w:tcPr>
            <w:tcW w:w="995" w:type="dxa"/>
            <w:shd w:val="clear" w:color="auto" w:fill="auto"/>
            <w:vAlign w:val="center"/>
          </w:tcPr>
          <w:p w14:paraId="3B425DA6" w14:textId="63610E67" w:rsidR="004B3807" w:rsidRPr="003160F2" w:rsidRDefault="002126FE" w:rsidP="003160F2">
            <w:pPr>
              <w:pStyle w:val="Un-numberedsubheading"/>
              <w:spacing w:after="0"/>
              <w:jc w:val="right"/>
              <w:rPr>
                <w:b w:val="0"/>
                <w:sz w:val="20"/>
                <w:szCs w:val="20"/>
              </w:rPr>
            </w:pPr>
            <w:r w:rsidRPr="003160F2">
              <w:rPr>
                <w:b w:val="0"/>
                <w:sz w:val="20"/>
                <w:szCs w:val="20"/>
              </w:rPr>
              <w:t>2</w:t>
            </w:r>
            <w:r w:rsidR="00BA35F1" w:rsidRPr="003160F2">
              <w:rPr>
                <w:b w:val="0"/>
                <w:sz w:val="20"/>
                <w:szCs w:val="20"/>
              </w:rPr>
              <w:t>2.7</w:t>
            </w:r>
          </w:p>
        </w:tc>
        <w:tc>
          <w:tcPr>
            <w:tcW w:w="991" w:type="dxa"/>
            <w:shd w:val="clear" w:color="auto" w:fill="auto"/>
            <w:vAlign w:val="center"/>
          </w:tcPr>
          <w:p w14:paraId="7C0F72E2" w14:textId="1D7264A7" w:rsidR="004B3807" w:rsidRPr="003160F2" w:rsidRDefault="002126FE" w:rsidP="003160F2">
            <w:pPr>
              <w:pStyle w:val="Un-numberedsubheading"/>
              <w:spacing w:after="0"/>
              <w:jc w:val="right"/>
              <w:rPr>
                <w:b w:val="0"/>
                <w:sz w:val="20"/>
                <w:szCs w:val="20"/>
              </w:rPr>
            </w:pPr>
            <w:r w:rsidRPr="003160F2">
              <w:rPr>
                <w:b w:val="0"/>
                <w:sz w:val="20"/>
                <w:szCs w:val="20"/>
              </w:rPr>
              <w:t>17.</w:t>
            </w:r>
            <w:r w:rsidR="00BA35F1" w:rsidRPr="003160F2">
              <w:rPr>
                <w:b w:val="0"/>
                <w:sz w:val="20"/>
                <w:szCs w:val="20"/>
              </w:rPr>
              <w:t>0</w:t>
            </w:r>
          </w:p>
        </w:tc>
        <w:tc>
          <w:tcPr>
            <w:tcW w:w="995" w:type="dxa"/>
            <w:shd w:val="clear" w:color="auto" w:fill="auto"/>
            <w:vAlign w:val="center"/>
          </w:tcPr>
          <w:p w14:paraId="77B7302D" w14:textId="488C2F56" w:rsidR="004B3807" w:rsidRPr="003160F2" w:rsidRDefault="002126FE" w:rsidP="003160F2">
            <w:pPr>
              <w:pStyle w:val="Un-numberedsubheading"/>
              <w:spacing w:after="0"/>
              <w:jc w:val="right"/>
              <w:rPr>
                <w:b w:val="0"/>
                <w:sz w:val="20"/>
                <w:szCs w:val="20"/>
              </w:rPr>
            </w:pPr>
            <w:r w:rsidRPr="003160F2">
              <w:rPr>
                <w:b w:val="0"/>
                <w:sz w:val="20"/>
                <w:szCs w:val="20"/>
              </w:rPr>
              <w:t>2</w:t>
            </w:r>
            <w:r w:rsidR="00BA35F1" w:rsidRPr="003160F2">
              <w:rPr>
                <w:b w:val="0"/>
                <w:sz w:val="20"/>
                <w:szCs w:val="20"/>
              </w:rPr>
              <w:t>0.5</w:t>
            </w:r>
          </w:p>
        </w:tc>
        <w:tc>
          <w:tcPr>
            <w:tcW w:w="992" w:type="dxa"/>
            <w:shd w:val="clear" w:color="auto" w:fill="auto"/>
            <w:vAlign w:val="center"/>
          </w:tcPr>
          <w:p w14:paraId="49C013BA" w14:textId="4500D9D2" w:rsidR="004B3807" w:rsidRPr="003160F2" w:rsidRDefault="002126FE" w:rsidP="003160F2">
            <w:pPr>
              <w:pStyle w:val="Un-numberedsubheading"/>
              <w:spacing w:after="0"/>
              <w:jc w:val="right"/>
              <w:rPr>
                <w:b w:val="0"/>
                <w:sz w:val="20"/>
                <w:szCs w:val="20"/>
              </w:rPr>
            </w:pPr>
            <w:r w:rsidRPr="003160F2">
              <w:rPr>
                <w:b w:val="0"/>
                <w:sz w:val="20"/>
                <w:szCs w:val="20"/>
              </w:rPr>
              <w:t>1</w:t>
            </w:r>
            <w:r w:rsidR="00BA35F1" w:rsidRPr="003160F2">
              <w:rPr>
                <w:b w:val="0"/>
                <w:sz w:val="20"/>
                <w:szCs w:val="20"/>
              </w:rPr>
              <w:t>6</w:t>
            </w:r>
            <w:r w:rsidRPr="003160F2">
              <w:rPr>
                <w:b w:val="0"/>
                <w:sz w:val="20"/>
                <w:szCs w:val="20"/>
              </w:rPr>
              <w:t>0</w:t>
            </w:r>
          </w:p>
        </w:tc>
        <w:tc>
          <w:tcPr>
            <w:tcW w:w="995" w:type="dxa"/>
            <w:shd w:val="clear" w:color="auto" w:fill="auto"/>
            <w:vAlign w:val="center"/>
          </w:tcPr>
          <w:p w14:paraId="68C19744" w14:textId="4CB1367D" w:rsidR="004B3807" w:rsidRPr="003160F2" w:rsidRDefault="002126FE" w:rsidP="003160F2">
            <w:pPr>
              <w:pStyle w:val="Un-numberedsubheading"/>
              <w:spacing w:after="0"/>
              <w:jc w:val="right"/>
              <w:rPr>
                <w:b w:val="0"/>
                <w:sz w:val="20"/>
                <w:szCs w:val="20"/>
              </w:rPr>
            </w:pPr>
            <w:r w:rsidRPr="003160F2">
              <w:rPr>
                <w:b w:val="0"/>
                <w:sz w:val="20"/>
                <w:szCs w:val="20"/>
              </w:rPr>
              <w:t>2</w:t>
            </w:r>
            <w:r w:rsidR="00BA35F1" w:rsidRPr="003160F2">
              <w:rPr>
                <w:b w:val="0"/>
                <w:sz w:val="20"/>
                <w:szCs w:val="20"/>
              </w:rPr>
              <w:t>1.0</w:t>
            </w:r>
          </w:p>
        </w:tc>
        <w:tc>
          <w:tcPr>
            <w:tcW w:w="977" w:type="dxa"/>
            <w:shd w:val="clear" w:color="auto" w:fill="auto"/>
            <w:vAlign w:val="center"/>
          </w:tcPr>
          <w:p w14:paraId="65D4FD98" w14:textId="45843426" w:rsidR="004B3807" w:rsidRPr="003160F2" w:rsidRDefault="002126FE" w:rsidP="003160F2">
            <w:pPr>
              <w:pStyle w:val="Un-numberedsubheading"/>
              <w:spacing w:after="0"/>
              <w:jc w:val="right"/>
              <w:rPr>
                <w:b w:val="0"/>
                <w:sz w:val="20"/>
                <w:szCs w:val="20"/>
              </w:rPr>
            </w:pPr>
            <w:r w:rsidRPr="003160F2">
              <w:rPr>
                <w:b w:val="0"/>
                <w:sz w:val="20"/>
                <w:szCs w:val="20"/>
              </w:rPr>
              <w:t>1</w:t>
            </w:r>
            <w:r w:rsidR="00BA35F1" w:rsidRPr="003160F2">
              <w:rPr>
                <w:b w:val="0"/>
                <w:sz w:val="20"/>
                <w:szCs w:val="20"/>
              </w:rPr>
              <w:t>5.2</w:t>
            </w:r>
          </w:p>
        </w:tc>
      </w:tr>
      <w:tr w:rsidR="003C5A2B" w:rsidRPr="003160F2" w14:paraId="0F2BF866" w14:textId="77777777" w:rsidTr="003160F2">
        <w:tc>
          <w:tcPr>
            <w:tcW w:w="3297" w:type="dxa"/>
            <w:shd w:val="clear" w:color="auto" w:fill="auto"/>
          </w:tcPr>
          <w:p w14:paraId="37742CEA" w14:textId="77777777" w:rsidR="004B3807" w:rsidRPr="003160F2" w:rsidRDefault="002126FE" w:rsidP="00AB2EF5">
            <w:pPr>
              <w:pStyle w:val="Un-numberedsubheading"/>
              <w:spacing w:after="0"/>
              <w:rPr>
                <w:b w:val="0"/>
                <w:sz w:val="20"/>
                <w:szCs w:val="20"/>
              </w:rPr>
            </w:pPr>
            <w:r w:rsidRPr="003160F2">
              <w:rPr>
                <w:b w:val="0"/>
                <w:sz w:val="20"/>
                <w:szCs w:val="20"/>
              </w:rPr>
              <w:t>Family status</w:t>
            </w:r>
          </w:p>
          <w:p w14:paraId="7EEBE066" w14:textId="77777777" w:rsidR="002126FE" w:rsidRPr="003160F2" w:rsidRDefault="002126FE" w:rsidP="00AB2EF5">
            <w:pPr>
              <w:pStyle w:val="Un-numberedsubheading"/>
              <w:spacing w:after="0"/>
              <w:rPr>
                <w:b w:val="0"/>
                <w:sz w:val="20"/>
                <w:szCs w:val="20"/>
              </w:rPr>
            </w:pPr>
            <w:r w:rsidRPr="003160F2">
              <w:rPr>
                <w:b w:val="0"/>
                <w:sz w:val="20"/>
                <w:szCs w:val="20"/>
              </w:rPr>
              <w:t>- single</w:t>
            </w:r>
          </w:p>
          <w:p w14:paraId="3A0CAFA0" w14:textId="77777777" w:rsidR="002126FE" w:rsidRPr="003160F2" w:rsidRDefault="002126FE" w:rsidP="00AB2EF5">
            <w:pPr>
              <w:pStyle w:val="Un-numberedsubheading"/>
              <w:spacing w:after="0"/>
              <w:rPr>
                <w:b w:val="0"/>
                <w:sz w:val="20"/>
                <w:szCs w:val="20"/>
              </w:rPr>
            </w:pPr>
            <w:r w:rsidRPr="003160F2">
              <w:rPr>
                <w:b w:val="0"/>
                <w:sz w:val="20"/>
                <w:szCs w:val="20"/>
              </w:rPr>
              <w:t>- married</w:t>
            </w:r>
          </w:p>
          <w:p w14:paraId="13BA6FA9" w14:textId="77777777" w:rsidR="002126FE" w:rsidRPr="003160F2" w:rsidRDefault="002126FE" w:rsidP="00AB2EF5">
            <w:pPr>
              <w:pStyle w:val="Un-numberedsubheading"/>
              <w:spacing w:after="0"/>
              <w:rPr>
                <w:b w:val="0"/>
                <w:sz w:val="20"/>
                <w:szCs w:val="20"/>
              </w:rPr>
            </w:pPr>
            <w:r w:rsidRPr="003160F2">
              <w:rPr>
                <w:b w:val="0"/>
                <w:sz w:val="20"/>
                <w:szCs w:val="20"/>
              </w:rPr>
              <w:t>- widow/widower</w:t>
            </w:r>
          </w:p>
        </w:tc>
        <w:tc>
          <w:tcPr>
            <w:tcW w:w="995" w:type="dxa"/>
            <w:shd w:val="clear" w:color="auto" w:fill="auto"/>
            <w:vAlign w:val="center"/>
          </w:tcPr>
          <w:p w14:paraId="725A5466" w14:textId="77777777" w:rsidR="004B3807" w:rsidRPr="003160F2" w:rsidRDefault="004B3807" w:rsidP="003160F2">
            <w:pPr>
              <w:pStyle w:val="Un-numberedsubheading"/>
              <w:spacing w:after="0"/>
              <w:jc w:val="right"/>
              <w:rPr>
                <w:b w:val="0"/>
                <w:sz w:val="20"/>
                <w:szCs w:val="20"/>
              </w:rPr>
            </w:pPr>
          </w:p>
          <w:p w14:paraId="0E64BB21" w14:textId="7BD16E5E" w:rsidR="002126FE" w:rsidRPr="003160F2" w:rsidRDefault="002126FE" w:rsidP="003160F2">
            <w:pPr>
              <w:pStyle w:val="Un-numberedsubheading"/>
              <w:spacing w:after="0"/>
              <w:jc w:val="right"/>
              <w:rPr>
                <w:b w:val="0"/>
                <w:sz w:val="20"/>
                <w:szCs w:val="20"/>
              </w:rPr>
            </w:pPr>
            <w:r w:rsidRPr="003160F2">
              <w:rPr>
                <w:b w:val="0"/>
                <w:sz w:val="20"/>
                <w:szCs w:val="20"/>
              </w:rPr>
              <w:t>1</w:t>
            </w:r>
            <w:r w:rsidR="00BA35F1" w:rsidRPr="003160F2">
              <w:rPr>
                <w:b w:val="0"/>
                <w:sz w:val="20"/>
                <w:szCs w:val="20"/>
              </w:rPr>
              <w:t>3.5</w:t>
            </w:r>
          </w:p>
          <w:p w14:paraId="496B8E05" w14:textId="2C8400D0" w:rsidR="002126FE" w:rsidRPr="003160F2" w:rsidRDefault="002126FE" w:rsidP="003160F2">
            <w:pPr>
              <w:pStyle w:val="Un-numberedsubheading"/>
              <w:spacing w:after="0"/>
              <w:jc w:val="right"/>
              <w:rPr>
                <w:b w:val="0"/>
                <w:sz w:val="20"/>
                <w:szCs w:val="20"/>
              </w:rPr>
            </w:pPr>
            <w:r w:rsidRPr="003160F2">
              <w:rPr>
                <w:b w:val="0"/>
                <w:sz w:val="20"/>
                <w:szCs w:val="20"/>
              </w:rPr>
              <w:t>5</w:t>
            </w:r>
            <w:r w:rsidR="000538E6" w:rsidRPr="003160F2">
              <w:rPr>
                <w:b w:val="0"/>
                <w:sz w:val="20"/>
                <w:szCs w:val="20"/>
              </w:rPr>
              <w:t>7.2</w:t>
            </w:r>
          </w:p>
          <w:p w14:paraId="3E343606" w14:textId="5F1FFE5B" w:rsidR="002126FE" w:rsidRPr="003160F2" w:rsidRDefault="002126FE" w:rsidP="003160F2">
            <w:pPr>
              <w:pStyle w:val="Un-numberedsubheading"/>
              <w:spacing w:after="0"/>
              <w:jc w:val="right"/>
              <w:rPr>
                <w:b w:val="0"/>
                <w:sz w:val="20"/>
                <w:szCs w:val="20"/>
              </w:rPr>
            </w:pPr>
            <w:r w:rsidRPr="003160F2">
              <w:rPr>
                <w:b w:val="0"/>
                <w:sz w:val="20"/>
                <w:szCs w:val="20"/>
              </w:rPr>
              <w:t>21.</w:t>
            </w:r>
            <w:r w:rsidR="000538E6" w:rsidRPr="003160F2">
              <w:rPr>
                <w:b w:val="0"/>
                <w:sz w:val="20"/>
                <w:szCs w:val="20"/>
              </w:rPr>
              <w:t>0</w:t>
            </w:r>
          </w:p>
        </w:tc>
        <w:tc>
          <w:tcPr>
            <w:tcW w:w="991" w:type="dxa"/>
            <w:shd w:val="clear" w:color="auto" w:fill="auto"/>
            <w:vAlign w:val="center"/>
          </w:tcPr>
          <w:p w14:paraId="740966B5" w14:textId="77777777" w:rsidR="002126FE" w:rsidRPr="003160F2" w:rsidRDefault="002126FE" w:rsidP="003160F2">
            <w:pPr>
              <w:pStyle w:val="Un-numberedsubheading"/>
              <w:spacing w:after="0"/>
              <w:jc w:val="right"/>
              <w:rPr>
                <w:b w:val="0"/>
                <w:sz w:val="20"/>
                <w:szCs w:val="20"/>
              </w:rPr>
            </w:pPr>
          </w:p>
          <w:p w14:paraId="27B6287D" w14:textId="696DDE3F" w:rsidR="004B3807" w:rsidRPr="003160F2" w:rsidRDefault="002126FE" w:rsidP="003160F2">
            <w:pPr>
              <w:pStyle w:val="Un-numberedsubheading"/>
              <w:spacing w:after="0"/>
              <w:jc w:val="right"/>
              <w:rPr>
                <w:b w:val="0"/>
                <w:sz w:val="20"/>
                <w:szCs w:val="20"/>
              </w:rPr>
            </w:pPr>
            <w:r w:rsidRPr="003160F2">
              <w:rPr>
                <w:b w:val="0"/>
                <w:sz w:val="20"/>
                <w:szCs w:val="20"/>
              </w:rPr>
              <w:t>4</w:t>
            </w:r>
            <w:r w:rsidR="00BA35F1" w:rsidRPr="003160F2">
              <w:rPr>
                <w:b w:val="0"/>
                <w:sz w:val="20"/>
                <w:szCs w:val="20"/>
              </w:rPr>
              <w:t>2.0</w:t>
            </w:r>
          </w:p>
          <w:p w14:paraId="123C0B45" w14:textId="36F3F406" w:rsidR="002126FE" w:rsidRPr="003160F2" w:rsidRDefault="000538E6" w:rsidP="003160F2">
            <w:pPr>
              <w:pStyle w:val="Un-numberedsubheading"/>
              <w:spacing w:after="0"/>
              <w:jc w:val="right"/>
              <w:rPr>
                <w:b w:val="0"/>
                <w:sz w:val="20"/>
                <w:szCs w:val="20"/>
              </w:rPr>
            </w:pPr>
            <w:r w:rsidRPr="003160F2">
              <w:rPr>
                <w:b w:val="0"/>
                <w:sz w:val="20"/>
                <w:szCs w:val="20"/>
              </w:rPr>
              <w:t>50.2</w:t>
            </w:r>
          </w:p>
          <w:p w14:paraId="248910F6" w14:textId="47E55B8D" w:rsidR="002126FE" w:rsidRPr="003160F2" w:rsidRDefault="002126FE" w:rsidP="003160F2">
            <w:pPr>
              <w:pStyle w:val="Un-numberedsubheading"/>
              <w:spacing w:after="0"/>
              <w:jc w:val="right"/>
              <w:rPr>
                <w:b w:val="0"/>
                <w:sz w:val="20"/>
                <w:szCs w:val="20"/>
              </w:rPr>
            </w:pPr>
            <w:r w:rsidRPr="003160F2">
              <w:rPr>
                <w:b w:val="0"/>
                <w:sz w:val="20"/>
                <w:szCs w:val="20"/>
              </w:rPr>
              <w:t>3.</w:t>
            </w:r>
            <w:r w:rsidR="000538E6" w:rsidRPr="003160F2">
              <w:rPr>
                <w:b w:val="0"/>
                <w:sz w:val="20"/>
                <w:szCs w:val="20"/>
              </w:rPr>
              <w:t>4</w:t>
            </w:r>
          </w:p>
        </w:tc>
        <w:tc>
          <w:tcPr>
            <w:tcW w:w="995" w:type="dxa"/>
            <w:shd w:val="clear" w:color="auto" w:fill="auto"/>
            <w:vAlign w:val="center"/>
          </w:tcPr>
          <w:p w14:paraId="395C7E5E" w14:textId="77777777" w:rsidR="002126FE" w:rsidRPr="003160F2" w:rsidRDefault="002126FE" w:rsidP="003160F2">
            <w:pPr>
              <w:pStyle w:val="Un-numberedsubheading"/>
              <w:spacing w:after="0"/>
              <w:jc w:val="right"/>
              <w:rPr>
                <w:b w:val="0"/>
                <w:sz w:val="20"/>
                <w:szCs w:val="20"/>
              </w:rPr>
            </w:pPr>
          </w:p>
          <w:p w14:paraId="2C689D30" w14:textId="44F6141A" w:rsidR="004B3807" w:rsidRPr="003160F2" w:rsidRDefault="002126FE" w:rsidP="003160F2">
            <w:pPr>
              <w:pStyle w:val="Un-numberedsubheading"/>
              <w:spacing w:after="0"/>
              <w:jc w:val="right"/>
              <w:rPr>
                <w:b w:val="0"/>
                <w:sz w:val="20"/>
                <w:szCs w:val="20"/>
              </w:rPr>
            </w:pPr>
            <w:r w:rsidRPr="003160F2">
              <w:rPr>
                <w:b w:val="0"/>
                <w:sz w:val="20"/>
                <w:szCs w:val="20"/>
              </w:rPr>
              <w:t>13.</w:t>
            </w:r>
            <w:r w:rsidR="00BA35F1" w:rsidRPr="003160F2">
              <w:rPr>
                <w:b w:val="0"/>
                <w:sz w:val="20"/>
                <w:szCs w:val="20"/>
              </w:rPr>
              <w:t>6</w:t>
            </w:r>
          </w:p>
          <w:p w14:paraId="44630764" w14:textId="2F6E0828" w:rsidR="002126FE" w:rsidRPr="003160F2" w:rsidRDefault="002126FE" w:rsidP="003160F2">
            <w:pPr>
              <w:pStyle w:val="Un-numberedsubheading"/>
              <w:spacing w:after="0"/>
              <w:jc w:val="right"/>
              <w:rPr>
                <w:b w:val="0"/>
                <w:sz w:val="20"/>
                <w:szCs w:val="20"/>
              </w:rPr>
            </w:pPr>
            <w:r w:rsidRPr="003160F2">
              <w:rPr>
                <w:b w:val="0"/>
                <w:sz w:val="20"/>
                <w:szCs w:val="20"/>
              </w:rPr>
              <w:t>57.</w:t>
            </w:r>
            <w:r w:rsidR="000538E6" w:rsidRPr="003160F2">
              <w:rPr>
                <w:b w:val="0"/>
                <w:sz w:val="20"/>
                <w:szCs w:val="20"/>
              </w:rPr>
              <w:t>1</w:t>
            </w:r>
          </w:p>
          <w:p w14:paraId="261F4FB6" w14:textId="2B3BB0C9" w:rsidR="002126FE" w:rsidRPr="003160F2" w:rsidRDefault="002126FE" w:rsidP="003160F2">
            <w:pPr>
              <w:pStyle w:val="Un-numberedsubheading"/>
              <w:spacing w:after="0"/>
              <w:jc w:val="right"/>
              <w:rPr>
                <w:b w:val="0"/>
                <w:sz w:val="20"/>
                <w:szCs w:val="20"/>
              </w:rPr>
            </w:pPr>
            <w:r w:rsidRPr="003160F2">
              <w:rPr>
                <w:b w:val="0"/>
                <w:sz w:val="20"/>
                <w:szCs w:val="20"/>
              </w:rPr>
              <w:t>21.</w:t>
            </w:r>
            <w:r w:rsidR="000538E6" w:rsidRPr="003160F2">
              <w:rPr>
                <w:b w:val="0"/>
                <w:sz w:val="20"/>
                <w:szCs w:val="20"/>
              </w:rPr>
              <w:t>1</w:t>
            </w:r>
          </w:p>
        </w:tc>
        <w:tc>
          <w:tcPr>
            <w:tcW w:w="992" w:type="dxa"/>
            <w:shd w:val="clear" w:color="auto" w:fill="auto"/>
            <w:vAlign w:val="center"/>
          </w:tcPr>
          <w:p w14:paraId="1A41BE6E" w14:textId="77777777" w:rsidR="002126FE" w:rsidRPr="003160F2" w:rsidRDefault="002126FE" w:rsidP="003160F2">
            <w:pPr>
              <w:pStyle w:val="Un-numberedsubheading"/>
              <w:spacing w:after="0"/>
              <w:jc w:val="right"/>
              <w:rPr>
                <w:b w:val="0"/>
                <w:sz w:val="20"/>
                <w:szCs w:val="20"/>
              </w:rPr>
            </w:pPr>
          </w:p>
          <w:p w14:paraId="6733361C" w14:textId="2BF9E916" w:rsidR="004B3807" w:rsidRPr="003160F2" w:rsidRDefault="00BA35F1" w:rsidP="003160F2">
            <w:pPr>
              <w:pStyle w:val="Un-numberedsubheading"/>
              <w:spacing w:after="0"/>
              <w:jc w:val="right"/>
              <w:rPr>
                <w:b w:val="0"/>
                <w:sz w:val="20"/>
                <w:szCs w:val="20"/>
              </w:rPr>
            </w:pPr>
            <w:r w:rsidRPr="003160F2">
              <w:rPr>
                <w:b w:val="0"/>
                <w:sz w:val="20"/>
                <w:szCs w:val="20"/>
              </w:rPr>
              <w:t>37.6</w:t>
            </w:r>
          </w:p>
          <w:p w14:paraId="32AFBA32" w14:textId="2D6FB135" w:rsidR="002126FE" w:rsidRPr="003160F2" w:rsidRDefault="002126FE" w:rsidP="003160F2">
            <w:pPr>
              <w:pStyle w:val="Un-numberedsubheading"/>
              <w:spacing w:after="0"/>
              <w:jc w:val="right"/>
              <w:rPr>
                <w:b w:val="0"/>
                <w:sz w:val="20"/>
                <w:szCs w:val="20"/>
              </w:rPr>
            </w:pPr>
            <w:r w:rsidRPr="003160F2">
              <w:rPr>
                <w:b w:val="0"/>
                <w:sz w:val="20"/>
                <w:szCs w:val="20"/>
              </w:rPr>
              <w:t>5</w:t>
            </w:r>
            <w:r w:rsidR="000538E6" w:rsidRPr="003160F2">
              <w:rPr>
                <w:b w:val="0"/>
                <w:sz w:val="20"/>
                <w:szCs w:val="20"/>
              </w:rPr>
              <w:t>3.</w:t>
            </w:r>
            <w:r w:rsidRPr="003160F2">
              <w:rPr>
                <w:b w:val="0"/>
                <w:sz w:val="20"/>
                <w:szCs w:val="20"/>
              </w:rPr>
              <w:t>0</w:t>
            </w:r>
          </w:p>
          <w:p w14:paraId="1A86EAD4" w14:textId="30EE0B48" w:rsidR="002126FE" w:rsidRPr="003160F2" w:rsidRDefault="002126FE" w:rsidP="003160F2">
            <w:pPr>
              <w:pStyle w:val="Un-numberedsubheading"/>
              <w:spacing w:after="0"/>
              <w:jc w:val="right"/>
              <w:rPr>
                <w:b w:val="0"/>
                <w:sz w:val="20"/>
                <w:szCs w:val="20"/>
              </w:rPr>
            </w:pPr>
            <w:r w:rsidRPr="003160F2">
              <w:rPr>
                <w:b w:val="0"/>
                <w:sz w:val="20"/>
                <w:szCs w:val="20"/>
              </w:rPr>
              <w:t>3.</w:t>
            </w:r>
            <w:r w:rsidR="000538E6" w:rsidRPr="003160F2">
              <w:rPr>
                <w:b w:val="0"/>
                <w:sz w:val="20"/>
                <w:szCs w:val="20"/>
              </w:rPr>
              <w:t>5</w:t>
            </w:r>
          </w:p>
        </w:tc>
        <w:tc>
          <w:tcPr>
            <w:tcW w:w="995" w:type="dxa"/>
            <w:shd w:val="clear" w:color="auto" w:fill="auto"/>
            <w:vAlign w:val="center"/>
          </w:tcPr>
          <w:p w14:paraId="44EB989D" w14:textId="77777777" w:rsidR="002126FE" w:rsidRPr="003160F2" w:rsidRDefault="002126FE" w:rsidP="003160F2">
            <w:pPr>
              <w:pStyle w:val="Un-numberedsubheading"/>
              <w:spacing w:after="0"/>
              <w:jc w:val="right"/>
              <w:rPr>
                <w:b w:val="0"/>
                <w:sz w:val="20"/>
                <w:szCs w:val="20"/>
              </w:rPr>
            </w:pPr>
          </w:p>
          <w:p w14:paraId="1D4A9175" w14:textId="37339882" w:rsidR="004B3807" w:rsidRPr="003160F2" w:rsidRDefault="002126FE" w:rsidP="003160F2">
            <w:pPr>
              <w:pStyle w:val="Un-numberedsubheading"/>
              <w:spacing w:after="0"/>
              <w:jc w:val="right"/>
              <w:rPr>
                <w:b w:val="0"/>
                <w:sz w:val="20"/>
                <w:szCs w:val="20"/>
              </w:rPr>
            </w:pPr>
            <w:r w:rsidRPr="003160F2">
              <w:rPr>
                <w:b w:val="0"/>
                <w:sz w:val="20"/>
                <w:szCs w:val="20"/>
              </w:rPr>
              <w:t>1</w:t>
            </w:r>
            <w:r w:rsidR="00BA35F1" w:rsidRPr="003160F2">
              <w:rPr>
                <w:b w:val="0"/>
                <w:sz w:val="20"/>
                <w:szCs w:val="20"/>
              </w:rPr>
              <w:t>4.1</w:t>
            </w:r>
          </w:p>
          <w:p w14:paraId="50BB07D9" w14:textId="516E746A" w:rsidR="002126FE" w:rsidRPr="003160F2" w:rsidRDefault="002126FE" w:rsidP="003160F2">
            <w:pPr>
              <w:pStyle w:val="Un-numberedsubheading"/>
              <w:spacing w:after="0"/>
              <w:jc w:val="right"/>
              <w:rPr>
                <w:b w:val="0"/>
                <w:sz w:val="20"/>
                <w:szCs w:val="20"/>
              </w:rPr>
            </w:pPr>
            <w:r w:rsidRPr="003160F2">
              <w:rPr>
                <w:b w:val="0"/>
                <w:sz w:val="20"/>
                <w:szCs w:val="20"/>
              </w:rPr>
              <w:t>5</w:t>
            </w:r>
            <w:r w:rsidR="000538E6" w:rsidRPr="003160F2">
              <w:rPr>
                <w:b w:val="0"/>
                <w:sz w:val="20"/>
                <w:szCs w:val="20"/>
              </w:rPr>
              <w:t>6.7</w:t>
            </w:r>
          </w:p>
          <w:p w14:paraId="32290193" w14:textId="1574E166" w:rsidR="002126FE" w:rsidRPr="003160F2" w:rsidRDefault="002126FE" w:rsidP="003160F2">
            <w:pPr>
              <w:pStyle w:val="Un-numberedsubheading"/>
              <w:spacing w:after="0"/>
              <w:jc w:val="right"/>
              <w:rPr>
                <w:b w:val="0"/>
                <w:sz w:val="20"/>
                <w:szCs w:val="20"/>
              </w:rPr>
            </w:pPr>
            <w:r w:rsidRPr="003160F2">
              <w:rPr>
                <w:b w:val="0"/>
                <w:sz w:val="20"/>
                <w:szCs w:val="20"/>
              </w:rPr>
              <w:t>21.</w:t>
            </w:r>
            <w:r w:rsidR="000538E6" w:rsidRPr="003160F2">
              <w:rPr>
                <w:b w:val="0"/>
                <w:sz w:val="20"/>
                <w:szCs w:val="20"/>
              </w:rPr>
              <w:t>0</w:t>
            </w:r>
          </w:p>
        </w:tc>
        <w:tc>
          <w:tcPr>
            <w:tcW w:w="977" w:type="dxa"/>
            <w:shd w:val="clear" w:color="auto" w:fill="auto"/>
            <w:vAlign w:val="center"/>
          </w:tcPr>
          <w:p w14:paraId="6A2E33E6" w14:textId="77777777" w:rsidR="002126FE" w:rsidRPr="003160F2" w:rsidRDefault="002126FE" w:rsidP="003160F2">
            <w:pPr>
              <w:pStyle w:val="Un-numberedsubheading"/>
              <w:spacing w:after="0"/>
              <w:jc w:val="right"/>
              <w:rPr>
                <w:b w:val="0"/>
                <w:sz w:val="20"/>
                <w:szCs w:val="20"/>
              </w:rPr>
            </w:pPr>
          </w:p>
          <w:p w14:paraId="0989F40C" w14:textId="3FF7C632" w:rsidR="004B3807" w:rsidRPr="003160F2" w:rsidRDefault="002126FE" w:rsidP="003160F2">
            <w:pPr>
              <w:pStyle w:val="Un-numberedsubheading"/>
              <w:spacing w:after="0"/>
              <w:jc w:val="right"/>
              <w:rPr>
                <w:b w:val="0"/>
                <w:sz w:val="20"/>
                <w:szCs w:val="20"/>
              </w:rPr>
            </w:pPr>
            <w:r w:rsidRPr="003160F2">
              <w:rPr>
                <w:b w:val="0"/>
                <w:sz w:val="20"/>
                <w:szCs w:val="20"/>
              </w:rPr>
              <w:t>3</w:t>
            </w:r>
            <w:r w:rsidR="00BA35F1" w:rsidRPr="003160F2">
              <w:rPr>
                <w:b w:val="0"/>
                <w:sz w:val="20"/>
                <w:szCs w:val="20"/>
              </w:rPr>
              <w:t>8.5</w:t>
            </w:r>
          </w:p>
          <w:p w14:paraId="0C641CA5" w14:textId="1F7B3239" w:rsidR="002126FE" w:rsidRPr="003160F2" w:rsidRDefault="002126FE" w:rsidP="003160F2">
            <w:pPr>
              <w:pStyle w:val="Un-numberedsubheading"/>
              <w:spacing w:after="0"/>
              <w:jc w:val="right"/>
              <w:rPr>
                <w:b w:val="0"/>
                <w:sz w:val="20"/>
                <w:szCs w:val="20"/>
              </w:rPr>
            </w:pPr>
            <w:r w:rsidRPr="003160F2">
              <w:rPr>
                <w:b w:val="0"/>
                <w:sz w:val="20"/>
                <w:szCs w:val="20"/>
              </w:rPr>
              <w:t>5</w:t>
            </w:r>
            <w:r w:rsidR="000538E6" w:rsidRPr="003160F2">
              <w:rPr>
                <w:b w:val="0"/>
                <w:sz w:val="20"/>
                <w:szCs w:val="20"/>
              </w:rPr>
              <w:t>2.</w:t>
            </w:r>
            <w:r w:rsidRPr="003160F2">
              <w:rPr>
                <w:b w:val="0"/>
                <w:sz w:val="20"/>
                <w:szCs w:val="20"/>
              </w:rPr>
              <w:t>.0</w:t>
            </w:r>
          </w:p>
          <w:p w14:paraId="77ABA6D4" w14:textId="5442882D" w:rsidR="002126FE" w:rsidRPr="003160F2" w:rsidRDefault="002126FE" w:rsidP="003160F2">
            <w:pPr>
              <w:pStyle w:val="Un-numberedsubheading"/>
              <w:spacing w:after="0"/>
              <w:jc w:val="right"/>
              <w:rPr>
                <w:b w:val="0"/>
                <w:sz w:val="20"/>
                <w:szCs w:val="20"/>
              </w:rPr>
            </w:pPr>
            <w:r w:rsidRPr="003160F2">
              <w:rPr>
                <w:b w:val="0"/>
                <w:sz w:val="20"/>
                <w:szCs w:val="20"/>
              </w:rPr>
              <w:t>3.</w:t>
            </w:r>
            <w:r w:rsidR="000538E6" w:rsidRPr="003160F2">
              <w:rPr>
                <w:b w:val="0"/>
                <w:sz w:val="20"/>
                <w:szCs w:val="20"/>
              </w:rPr>
              <w:t>2</w:t>
            </w:r>
          </w:p>
        </w:tc>
      </w:tr>
    </w:tbl>
    <w:p w14:paraId="24E50B64" w14:textId="3E2B7369" w:rsidR="004B3807" w:rsidRPr="005A62BD" w:rsidRDefault="004B3807" w:rsidP="00D73FC4">
      <w:pPr>
        <w:pStyle w:val="Un-numberedsubheading"/>
        <w:spacing w:after="0"/>
        <w:jc w:val="both"/>
        <w:rPr>
          <w:b w:val="0"/>
          <w:i/>
          <w:iCs/>
        </w:rPr>
      </w:pPr>
      <w:r w:rsidRPr="005A62BD">
        <w:rPr>
          <w:b w:val="0"/>
          <w:i/>
          <w:iCs/>
        </w:rPr>
        <w:t>Source: Statistical Office of the SR</w:t>
      </w:r>
      <w:r w:rsidRPr="005A62BD">
        <w:rPr>
          <w:i/>
          <w:iCs/>
        </w:rPr>
        <w:t xml:space="preserve"> </w:t>
      </w:r>
      <w:r w:rsidRPr="005A62BD">
        <w:rPr>
          <w:b w:val="0"/>
          <w:i/>
          <w:iCs/>
        </w:rPr>
        <w:t>(</w:t>
      </w:r>
      <w:proofErr w:type="spellStart"/>
      <w:r w:rsidR="00B56F9C" w:rsidRPr="005A62BD">
        <w:rPr>
          <w:b w:val="0"/>
          <w:i/>
          <w:iCs/>
        </w:rPr>
        <w:t>Vybrané</w:t>
      </w:r>
      <w:proofErr w:type="spellEnd"/>
      <w:r w:rsidR="00B56F9C" w:rsidRPr="005A62BD">
        <w:rPr>
          <w:b w:val="0"/>
          <w:i/>
          <w:iCs/>
        </w:rPr>
        <w:t xml:space="preserve"> </w:t>
      </w:r>
      <w:proofErr w:type="spellStart"/>
      <w:r w:rsidR="00B56F9C" w:rsidRPr="005A62BD">
        <w:rPr>
          <w:b w:val="0"/>
          <w:i/>
          <w:iCs/>
        </w:rPr>
        <w:t>indikátory</w:t>
      </w:r>
      <w:proofErr w:type="spellEnd"/>
      <w:r w:rsidR="00B56F9C" w:rsidRPr="005A62BD">
        <w:rPr>
          <w:i/>
          <w:iCs/>
        </w:rPr>
        <w:t>,</w:t>
      </w:r>
      <w:r w:rsidR="003C390B" w:rsidRPr="005A62BD">
        <w:rPr>
          <w:b w:val="0"/>
          <w:i/>
          <w:iCs/>
        </w:rPr>
        <w:t xml:space="preserve"> 201</w:t>
      </w:r>
      <w:r w:rsidR="00B56F9C" w:rsidRPr="005A62BD">
        <w:rPr>
          <w:b w:val="0"/>
          <w:i/>
          <w:iCs/>
        </w:rPr>
        <w:t>6</w:t>
      </w:r>
      <w:r w:rsidR="003C390B" w:rsidRPr="005A62BD">
        <w:rPr>
          <w:b w:val="0"/>
          <w:i/>
          <w:iCs/>
        </w:rPr>
        <w:t xml:space="preserve">, </w:t>
      </w:r>
      <w:r w:rsidR="00542497" w:rsidRPr="005A62BD">
        <w:rPr>
          <w:b w:val="0"/>
          <w:i/>
          <w:iCs/>
        </w:rPr>
        <w:t xml:space="preserve">available at: </w:t>
      </w:r>
      <w:hyperlink r:id="rId32" w:history="1">
        <w:r w:rsidR="00542497" w:rsidRPr="005A62BD">
          <w:rPr>
            <w:rStyle w:val="Hyperlink"/>
            <w:b w:val="0"/>
            <w:i/>
          </w:rPr>
          <w:t>https://www.employment.gov.sk/sk/rodina-socialna-pomoc/tazke-zdravotne-postihnutie/kontaktne-miesto-prava-osob-so-zdravotnym-postihnutim/</w:t>
        </w:r>
        <w:r w:rsidR="003C390B" w:rsidRPr="005A62BD">
          <w:rPr>
            <w:rStyle w:val="Hyperlink"/>
            <w:b w:val="0"/>
            <w:i/>
          </w:rPr>
          <w:t>)</w:t>
        </w:r>
      </w:hyperlink>
      <w:r w:rsidR="005A62BD" w:rsidRPr="005A62BD">
        <w:rPr>
          <w:b w:val="0"/>
          <w:i/>
          <w:iCs/>
        </w:rPr>
        <w:t>.</w:t>
      </w:r>
    </w:p>
    <w:p w14:paraId="01F2C6DC" w14:textId="77777777" w:rsidR="00B2465C" w:rsidRPr="005A62BD" w:rsidRDefault="0010423F" w:rsidP="005A62BD">
      <w:pPr>
        <w:pStyle w:val="Heading1"/>
      </w:pPr>
      <w:bookmarkStart w:id="16" w:name="_Toc499120877"/>
      <w:r w:rsidRPr="005A62BD">
        <w:lastRenderedPageBreak/>
        <w:t>Description of the situation and trends in relation to each target area</w:t>
      </w:r>
      <w:bookmarkEnd w:id="16"/>
    </w:p>
    <w:p w14:paraId="1D20B602" w14:textId="77777777" w:rsidR="002255B2" w:rsidRDefault="002255B2" w:rsidP="00D73FC4">
      <w:pPr>
        <w:spacing w:after="0"/>
        <w:jc w:val="both"/>
      </w:pPr>
    </w:p>
    <w:p w14:paraId="6EF3CF30" w14:textId="074B03EB" w:rsidR="008D44D2" w:rsidRPr="005A62BD" w:rsidRDefault="008D44D2" w:rsidP="00D73FC4">
      <w:pPr>
        <w:spacing w:after="0"/>
        <w:jc w:val="both"/>
      </w:pPr>
      <w:r>
        <w:t xml:space="preserve">General note: </w:t>
      </w:r>
    </w:p>
    <w:p w14:paraId="0AF33608" w14:textId="5EAEEBF3" w:rsidR="002255B2" w:rsidRPr="005A62BD" w:rsidRDefault="002255B2" w:rsidP="00D73FC4">
      <w:pPr>
        <w:spacing w:after="0"/>
        <w:jc w:val="both"/>
      </w:pPr>
      <w:r w:rsidRPr="005A62BD">
        <w:t xml:space="preserve">When referring to indicators derived from EU-SILC </w:t>
      </w:r>
      <w:r w:rsidR="008C547B" w:rsidRPr="005A62BD">
        <w:t xml:space="preserve">data </w:t>
      </w:r>
      <w:r w:rsidRPr="005A62BD">
        <w:t xml:space="preserve">it is relevant to note that prevalence estimates for self-reported disability (limitation) in Slovakia are higher than the EU average, notably among older people. This may have some effect on outcome indicators of employment, education and poverty risk. In all sections of this report </w:t>
      </w:r>
      <w:r w:rsidR="008C547B" w:rsidRPr="005A62BD">
        <w:t>comparisons are made</w:t>
      </w:r>
      <w:r w:rsidRPr="005A62BD">
        <w:t xml:space="preserve"> with administrative data from national sources (which cover a smaller population group and tend to </w:t>
      </w:r>
      <w:r w:rsidR="004463CF" w:rsidRPr="005A62BD">
        <w:t>indicate</w:t>
      </w:r>
      <w:r w:rsidRPr="005A62BD">
        <w:t xml:space="preserve"> less positive outcomes). </w:t>
      </w:r>
    </w:p>
    <w:p w14:paraId="59C39CFE" w14:textId="77777777" w:rsidR="00A02DFF" w:rsidRPr="005A62BD" w:rsidRDefault="00A02DFF" w:rsidP="00D73FC4">
      <w:pPr>
        <w:spacing w:after="0"/>
        <w:jc w:val="both"/>
      </w:pPr>
    </w:p>
    <w:p w14:paraId="406AA986" w14:textId="77777777" w:rsidR="0010423F" w:rsidRPr="005A62BD" w:rsidRDefault="0010423F" w:rsidP="00D73FC4">
      <w:pPr>
        <w:pStyle w:val="Heading2"/>
      </w:pPr>
      <w:bookmarkStart w:id="17" w:name="_Toc499120878"/>
      <w:r w:rsidRPr="005A62BD">
        <w:t>Employment</w:t>
      </w:r>
      <w:bookmarkEnd w:id="17"/>
    </w:p>
    <w:p w14:paraId="56F63DB7" w14:textId="77777777" w:rsidR="003C390B" w:rsidRPr="005A62BD" w:rsidRDefault="003C390B" w:rsidP="00D73FC4">
      <w:pPr>
        <w:spacing w:after="0"/>
        <w:jc w:val="both"/>
      </w:pPr>
    </w:p>
    <w:p w14:paraId="449124FE" w14:textId="5FB4EF33" w:rsidR="008613A1" w:rsidRPr="005A62BD" w:rsidRDefault="00675E3B" w:rsidP="00D73FC4">
      <w:pPr>
        <w:spacing w:after="0"/>
        <w:jc w:val="both"/>
      </w:pPr>
      <w:r>
        <w:t>Compared to other EU member states, in Slovakia, t</w:t>
      </w:r>
      <w:r w:rsidR="003B4643" w:rsidRPr="005A62BD">
        <w:t xml:space="preserve">he EU SILC data indicate a </w:t>
      </w:r>
      <w:proofErr w:type="gramStart"/>
      <w:r w:rsidR="003B4643" w:rsidRPr="005A62BD">
        <w:t>fairly strong</w:t>
      </w:r>
      <w:proofErr w:type="gramEnd"/>
      <w:r w:rsidR="003B4643" w:rsidRPr="005A62BD">
        <w:t xml:space="preserve"> employment rate for the general population and for persons declaring some level of impairment (limitation). In fact, the disability employment gap on this measure is proportionally narrower than </w:t>
      </w:r>
      <w:r w:rsidR="003F359E" w:rsidRPr="005A62BD">
        <w:t xml:space="preserve">in </w:t>
      </w:r>
      <w:r w:rsidR="003B4643" w:rsidRPr="005A62BD">
        <w:t>most</w:t>
      </w:r>
      <w:r w:rsidR="007F5EF0" w:rsidRPr="005A62BD">
        <w:t xml:space="preserve"> </w:t>
      </w:r>
      <w:r w:rsidR="003F359E" w:rsidRPr="005A62BD">
        <w:t xml:space="preserve">countries </w:t>
      </w:r>
      <w:r w:rsidR="007F5EF0" w:rsidRPr="005A62BD">
        <w:t>and the activity rate appears relatively high</w:t>
      </w:r>
      <w:r w:rsidR="003B4643" w:rsidRPr="005A62BD">
        <w:t xml:space="preserve">. </w:t>
      </w:r>
      <w:r w:rsidR="008613A1" w:rsidRPr="005A62BD">
        <w:t>The 2017 EU Alert Mechanism identified structural unemployment in Slovakia as a key challenge</w:t>
      </w:r>
      <w:r w:rsidR="003F359E" w:rsidRPr="005A62BD">
        <w:t xml:space="preserve">, which </w:t>
      </w:r>
      <w:r w:rsidR="008613A1" w:rsidRPr="005A62BD">
        <w:t>affect</w:t>
      </w:r>
      <w:r w:rsidR="003B4643" w:rsidRPr="005A62BD">
        <w:t>s</w:t>
      </w:r>
      <w:r w:rsidR="008613A1" w:rsidRPr="005A62BD">
        <w:t xml:space="preserve"> people with disabilities </w:t>
      </w:r>
      <w:r w:rsidR="003B4643" w:rsidRPr="005A62BD">
        <w:t>too</w:t>
      </w:r>
      <w:r w:rsidR="008613A1" w:rsidRPr="005A62BD">
        <w:t xml:space="preserve">. Indeed, EU data suggests that </w:t>
      </w:r>
      <w:r w:rsidR="003B4643" w:rsidRPr="005A62BD">
        <w:t xml:space="preserve">while </w:t>
      </w:r>
      <w:r w:rsidR="008613A1" w:rsidRPr="005A62BD">
        <w:t xml:space="preserve">unemployment falls below the EU average for the general population </w:t>
      </w:r>
      <w:r w:rsidR="003B4643" w:rsidRPr="005A62BD">
        <w:t>it rises</w:t>
      </w:r>
      <w:r w:rsidR="008613A1" w:rsidRPr="005A62BD">
        <w:t xml:space="preserve"> above for people with disabilities. </w:t>
      </w:r>
      <w:r w:rsidR="007F5EF0" w:rsidRPr="005A62BD">
        <w:t>This suggest</w:t>
      </w:r>
      <w:r w:rsidR="003F359E" w:rsidRPr="005A62BD">
        <w:t>s that there is</w:t>
      </w:r>
      <w:r w:rsidR="007F5EF0" w:rsidRPr="005A62BD">
        <w:t xml:space="preserve"> a need to </w:t>
      </w:r>
      <w:r w:rsidR="003F359E" w:rsidRPr="005A62BD">
        <w:t>assess</w:t>
      </w:r>
      <w:r w:rsidR="007F5EF0" w:rsidRPr="005A62BD">
        <w:t xml:space="preserve"> </w:t>
      </w:r>
      <w:r w:rsidR="003F359E" w:rsidRPr="005A62BD">
        <w:t xml:space="preserve">unemployment support </w:t>
      </w:r>
      <w:r w:rsidR="007F5EF0" w:rsidRPr="005A62BD">
        <w:t xml:space="preserve">policies </w:t>
      </w:r>
      <w:r w:rsidR="003F359E" w:rsidRPr="005A62BD">
        <w:t>also from a disability perspective</w:t>
      </w:r>
      <w:r w:rsidR="007F5EF0" w:rsidRPr="005A62BD">
        <w:t>.</w:t>
      </w:r>
    </w:p>
    <w:p w14:paraId="0F44F87F" w14:textId="77777777" w:rsidR="008613A1" w:rsidRPr="005A62BD" w:rsidRDefault="008613A1" w:rsidP="00D73FC4">
      <w:pPr>
        <w:spacing w:after="0"/>
        <w:jc w:val="both"/>
      </w:pPr>
    </w:p>
    <w:p w14:paraId="3FAA6C9F" w14:textId="3AFCE6CA" w:rsidR="008041CA" w:rsidRPr="005A62BD" w:rsidRDefault="006E3F49" w:rsidP="00D73FC4">
      <w:pPr>
        <w:spacing w:after="0"/>
        <w:jc w:val="both"/>
      </w:pPr>
      <w:r w:rsidRPr="005A62BD">
        <w:t xml:space="preserve">The EU SILC data vary </w:t>
      </w:r>
      <w:proofErr w:type="gramStart"/>
      <w:r w:rsidRPr="005A62BD">
        <w:t>to a great extent from</w:t>
      </w:r>
      <w:proofErr w:type="gramEnd"/>
      <w:r w:rsidRPr="005A62BD">
        <w:t xml:space="preserve"> the national data – mainly due to different methodological approaches (self-reporting in case of EU SILC</w:t>
      </w:r>
      <w:r w:rsidR="00F246BF" w:rsidRPr="005A62BD">
        <w:t>,</w:t>
      </w:r>
      <w:r w:rsidRPr="005A62BD">
        <w:t xml:space="preserve"> </w:t>
      </w:r>
      <w:r w:rsidR="00F246BF" w:rsidRPr="005A62BD">
        <w:t>versus survey/</w:t>
      </w:r>
      <w:r w:rsidRPr="005A62BD">
        <w:t xml:space="preserve"> registry of PWD on grounds of the </w:t>
      </w:r>
      <w:r w:rsidR="00CC7FF1" w:rsidRPr="005A62BD">
        <w:t xml:space="preserve">administrative </w:t>
      </w:r>
      <w:r w:rsidRPr="005A62BD">
        <w:t>assessment)</w:t>
      </w:r>
      <w:r w:rsidR="00291B4C" w:rsidRPr="005A62BD">
        <w:t xml:space="preserve"> and different methodology between EU-SILC and LFS</w:t>
      </w:r>
      <w:r w:rsidR="0028143A" w:rsidRPr="005A62BD">
        <w:t xml:space="preserve"> </w:t>
      </w:r>
      <w:r w:rsidR="00CF0261" w:rsidRPr="005A62BD">
        <w:t xml:space="preserve">(e.g. </w:t>
      </w:r>
      <w:r w:rsidR="003009E0" w:rsidRPr="005A62BD">
        <w:t xml:space="preserve">sample age, </w:t>
      </w:r>
      <w:r w:rsidR="00CF0261" w:rsidRPr="005A62BD">
        <w:t>sample size, frequency of data collection</w:t>
      </w:r>
      <w:r w:rsidR="00AE733D" w:rsidRPr="005A62BD">
        <w:t>, weights</w:t>
      </w:r>
      <w:r w:rsidR="00CF0261" w:rsidRPr="005A62BD">
        <w:t>) and also available data structure</w:t>
      </w:r>
      <w:r w:rsidRPr="005A62BD">
        <w:t>.</w:t>
      </w:r>
      <w:r w:rsidR="00CC7FF1" w:rsidRPr="005A62BD">
        <w:t xml:space="preserve"> </w:t>
      </w:r>
    </w:p>
    <w:p w14:paraId="0815F31F" w14:textId="77777777" w:rsidR="003C390B" w:rsidRPr="005A62BD" w:rsidRDefault="003C390B" w:rsidP="00D73FC4">
      <w:pPr>
        <w:spacing w:after="0"/>
        <w:jc w:val="both"/>
      </w:pPr>
    </w:p>
    <w:p w14:paraId="4D1C9A31" w14:textId="5676C23D" w:rsidR="00061EF4" w:rsidRPr="005A62BD" w:rsidRDefault="006E3F49" w:rsidP="00D73FC4">
      <w:pPr>
        <w:spacing w:after="0"/>
        <w:jc w:val="both"/>
      </w:pPr>
      <w:r w:rsidRPr="005A62BD">
        <w:t xml:space="preserve">The data presented in section 2.2 show that in Slovakia most people with disabilities </w:t>
      </w:r>
      <w:r w:rsidR="00CC7FF1" w:rsidRPr="005A62BD">
        <w:t>are</w:t>
      </w:r>
      <w:r w:rsidRPr="005A62BD">
        <w:t xml:space="preserve"> economically </w:t>
      </w:r>
      <w:r w:rsidR="00CC7FF1" w:rsidRPr="005A62BD">
        <w:t xml:space="preserve">inactive but only a minority are employed </w:t>
      </w:r>
      <w:r w:rsidRPr="005A62BD">
        <w:t xml:space="preserve">(in contrast to total population where most people are employed). </w:t>
      </w:r>
      <w:r w:rsidR="00F246BF" w:rsidRPr="005A62BD">
        <w:t>According to the national LFS data t</w:t>
      </w:r>
      <w:r w:rsidR="00061EF4" w:rsidRPr="005A62BD">
        <w:t xml:space="preserve">he tendency of transfer to inactivity </w:t>
      </w:r>
      <w:r w:rsidR="00A431D6" w:rsidRPr="005A62BD">
        <w:t>has been</w:t>
      </w:r>
      <w:r w:rsidR="00061EF4" w:rsidRPr="005A62BD">
        <w:t xml:space="preserve"> obvious mostly in the age category 50+. </w:t>
      </w:r>
      <w:r w:rsidR="002B5D8E" w:rsidRPr="005A62BD">
        <w:t>T</w:t>
      </w:r>
      <w:r w:rsidR="00061EF4" w:rsidRPr="005A62BD">
        <w:t xml:space="preserve">he proportion of working </w:t>
      </w:r>
      <w:r w:rsidR="002B5D8E" w:rsidRPr="005A62BD">
        <w:t xml:space="preserve">as well as unemployed </w:t>
      </w:r>
      <w:proofErr w:type="spellStart"/>
      <w:r w:rsidR="00061EF4" w:rsidRPr="005A62BD">
        <w:t>PwD</w:t>
      </w:r>
      <w:proofErr w:type="spellEnd"/>
      <w:r w:rsidR="00061EF4" w:rsidRPr="005A62BD">
        <w:t xml:space="preserve"> aged 50+ is still the highest among all age categories. </w:t>
      </w:r>
      <w:r w:rsidR="007A1BB2" w:rsidRPr="005A62BD">
        <w:t>While t</w:t>
      </w:r>
      <w:r w:rsidR="002B5D8E" w:rsidRPr="005A62BD">
        <w:t xml:space="preserve">he total share of working PWD aged </w:t>
      </w:r>
      <w:r w:rsidR="00061EF4" w:rsidRPr="005A62BD">
        <w:t xml:space="preserve">15-29 years </w:t>
      </w:r>
      <w:r w:rsidR="002B5D8E" w:rsidRPr="005A62BD">
        <w:t xml:space="preserve">was </w:t>
      </w:r>
      <w:r w:rsidR="00061EF4" w:rsidRPr="005A62BD">
        <w:t>11.</w:t>
      </w:r>
      <w:r w:rsidR="002B5D8E" w:rsidRPr="005A62BD">
        <w:t>5</w:t>
      </w:r>
      <w:r w:rsidR="00061EF4" w:rsidRPr="005A62BD">
        <w:t xml:space="preserve">% </w:t>
      </w:r>
      <w:r w:rsidR="002B5D8E" w:rsidRPr="005A62BD">
        <w:t>in 2015 (compared to 11.3% in 2014), share of those aged 50+ increased to 4</w:t>
      </w:r>
      <w:r w:rsidR="00E56D32" w:rsidRPr="005A62BD">
        <w:t>2</w:t>
      </w:r>
      <w:r w:rsidR="002B5D8E" w:rsidRPr="005A62BD">
        <w:t>.</w:t>
      </w:r>
      <w:r w:rsidR="00E56D32" w:rsidRPr="005A62BD">
        <w:t>6</w:t>
      </w:r>
      <w:r w:rsidR="002B5D8E" w:rsidRPr="005A62BD">
        <w:t xml:space="preserve">% (compared to </w:t>
      </w:r>
      <w:r w:rsidR="00061EF4" w:rsidRPr="005A62BD">
        <w:t xml:space="preserve">35.2% </w:t>
      </w:r>
      <w:r w:rsidR="002B5D8E" w:rsidRPr="005A62BD">
        <w:t>in 2014).</w:t>
      </w:r>
      <w:r w:rsidR="005A62BD">
        <w:t xml:space="preserve"> </w:t>
      </w:r>
      <w:r w:rsidR="00E56D32" w:rsidRPr="005A62BD">
        <w:t>Similarly, total share of unemployed PWD aged 50+ reached almost 43%, while amongst non-disabled</w:t>
      </w:r>
      <w:r w:rsidR="007A1BB2" w:rsidRPr="005A62BD">
        <w:t xml:space="preserve"> population</w:t>
      </w:r>
      <w:r w:rsidR="00E56D32" w:rsidRPr="005A62BD">
        <w:t xml:space="preserve">, the largest share of unemployed was aged between 15-29 years (almost 30%). </w:t>
      </w:r>
    </w:p>
    <w:p w14:paraId="60ACD94D" w14:textId="77777777" w:rsidR="00D73FC4" w:rsidRDefault="00D73FC4" w:rsidP="00D73FC4">
      <w:pPr>
        <w:spacing w:after="0"/>
        <w:jc w:val="both"/>
      </w:pPr>
    </w:p>
    <w:p w14:paraId="31F1ED53" w14:textId="6629B34F" w:rsidR="00DB2BA6" w:rsidRPr="00F23DF7" w:rsidRDefault="003160F2" w:rsidP="00D73FC4">
      <w:pPr>
        <w:spacing w:after="0"/>
        <w:jc w:val="both"/>
        <w:rPr>
          <w:lang w:eastAsia="zh-CN"/>
        </w:rPr>
      </w:pPr>
      <w:r>
        <w:t>A p</w:t>
      </w:r>
      <w:r w:rsidR="00DB2BA6" w:rsidRPr="00F23DF7">
        <w:t xml:space="preserve">otential explanation for persistent high economic inactivity among people with disabilities is that not much political attention has been paid to </w:t>
      </w:r>
      <w:r>
        <w:t>this group</w:t>
      </w:r>
      <w:r w:rsidR="00DB2BA6" w:rsidRPr="00F23DF7">
        <w:t xml:space="preserve"> over </w:t>
      </w:r>
      <w:r>
        <w:t xml:space="preserve">the </w:t>
      </w:r>
      <w:r w:rsidR="00DB2BA6" w:rsidRPr="00F23DF7">
        <w:t>past three years. Instead, the focus was on the long-term unemployed</w:t>
      </w:r>
      <w:r>
        <w:t xml:space="preserve"> in general</w:t>
      </w:r>
      <w:r w:rsidR="00DB2BA6" w:rsidRPr="00F23DF7">
        <w:t xml:space="preserve">. In fact, recent CSRs also point to the problem of </w:t>
      </w:r>
      <w:r w:rsidR="00DB2BA6" w:rsidRPr="00F23DF7">
        <w:rPr>
          <w:lang w:eastAsia="zh-CN"/>
        </w:rPr>
        <w:t xml:space="preserve">long-term unemployment, stating that </w:t>
      </w:r>
      <w:r w:rsidR="003B54BB">
        <w:rPr>
          <w:lang w:eastAsia="zh-CN"/>
        </w:rPr>
        <w:t>“</w:t>
      </w:r>
      <w:r w:rsidR="00DB2BA6" w:rsidRPr="00F23DF7">
        <w:rPr>
          <w:lang w:eastAsia="zh-CN"/>
        </w:rPr>
        <w:t>It particularly affects marginalised Roma, low-skilled and young people.</w:t>
      </w:r>
      <w:r w:rsidR="003B54BB">
        <w:rPr>
          <w:lang w:eastAsia="zh-CN"/>
        </w:rPr>
        <w:t xml:space="preserve">” </w:t>
      </w:r>
      <w:proofErr w:type="gramStart"/>
      <w:r w:rsidR="00DB2BA6" w:rsidRPr="00F23DF7">
        <w:rPr>
          <w:lang w:eastAsia="zh-CN"/>
        </w:rPr>
        <w:t>(</w:t>
      </w:r>
      <w:proofErr w:type="gramEnd"/>
      <w:r w:rsidR="00DB2BA6" w:rsidRPr="00F23DF7">
        <w:rPr>
          <w:lang w:eastAsia="zh-CN"/>
        </w:rPr>
        <w:t xml:space="preserve">CSR, 2017) </w:t>
      </w:r>
    </w:p>
    <w:p w14:paraId="7CD63308" w14:textId="77777777" w:rsidR="00D73FC4" w:rsidRDefault="00D73FC4" w:rsidP="00D73FC4">
      <w:pPr>
        <w:spacing w:after="0"/>
        <w:jc w:val="both"/>
        <w:rPr>
          <w:lang w:eastAsia="zh-CN"/>
        </w:rPr>
      </w:pPr>
    </w:p>
    <w:p w14:paraId="292A45FF" w14:textId="62193A15" w:rsidR="00DB2BA6" w:rsidRPr="00F23DF7" w:rsidRDefault="00DB2BA6" w:rsidP="00D73FC4">
      <w:pPr>
        <w:spacing w:after="0"/>
        <w:jc w:val="both"/>
      </w:pPr>
      <w:r w:rsidRPr="00F23DF7">
        <w:rPr>
          <w:lang w:eastAsia="zh-CN"/>
        </w:rPr>
        <w:t xml:space="preserve">However, legally speaking, most people with disabilities are not long-term unemployed in the sense that they would be registered job-seekers for more than </w:t>
      </w:r>
      <w:r w:rsidRPr="00F23DF7">
        <w:rPr>
          <w:lang w:eastAsia="zh-CN"/>
        </w:rPr>
        <w:lastRenderedPageBreak/>
        <w:t>one year. On the contrary, most of them are not registered, i.e. they are economically inactive. The reason for not registering is that there is no incentive</w:t>
      </w:r>
      <w:r w:rsidR="00F23DF7" w:rsidRPr="00F23DF7">
        <w:rPr>
          <w:lang w:eastAsia="zh-CN"/>
        </w:rPr>
        <w:t xml:space="preserve"> </w:t>
      </w:r>
      <w:r w:rsidRPr="00F23DF7">
        <w:t xml:space="preserve">to do so – e.g. whereas for other unemployed people, mandatory insurance levies are paid by state on grounds of their registration as job-seekers, these are paid for PWD by state on grounds of their recipiency of disability pension. </w:t>
      </w:r>
    </w:p>
    <w:p w14:paraId="408F2B43" w14:textId="77777777" w:rsidR="00D73FC4" w:rsidRDefault="00D73FC4" w:rsidP="00D73FC4">
      <w:pPr>
        <w:jc w:val="both"/>
      </w:pPr>
    </w:p>
    <w:p w14:paraId="55CC0DFE" w14:textId="2EEF2353" w:rsidR="00DB2BA6" w:rsidRPr="00F23DF7" w:rsidRDefault="00DB2BA6" w:rsidP="00D73FC4">
      <w:pPr>
        <w:spacing w:after="0"/>
        <w:jc w:val="both"/>
      </w:pPr>
      <w:r w:rsidRPr="00F23DF7">
        <w:t xml:space="preserve">Consequently, although in 2016, Slovakia adopted the </w:t>
      </w:r>
      <w:r w:rsidRPr="00F23DF7">
        <w:rPr>
          <w:i/>
        </w:rPr>
        <w:t>Action plan to support integration of long-term unemployed in the labour market</w:t>
      </w:r>
      <w:r w:rsidR="003B54BB">
        <w:t>,</w:t>
      </w:r>
      <w:r w:rsidRPr="00F23DF7">
        <w:rPr>
          <w:rStyle w:val="FootnoteReference"/>
        </w:rPr>
        <w:footnoteReference w:id="15"/>
      </w:r>
      <w:r w:rsidRPr="00F23DF7">
        <w:t xml:space="preserve"> its measures are focused on the registered long-term unemployed, and therefore they have only a very small impact on </w:t>
      </w:r>
      <w:r w:rsidR="00F23DF7">
        <w:t>PWD</w:t>
      </w:r>
      <w:r w:rsidRPr="00F23DF7">
        <w:t xml:space="preserve"> outside the labour market. The only exception is the measure No. 6 </w:t>
      </w:r>
      <w:r w:rsidR="00F23DF7" w:rsidRPr="00F23DF7">
        <w:t xml:space="preserve">of the Action plan </w:t>
      </w:r>
      <w:r w:rsidR="00F23DF7">
        <w:t>„</w:t>
      </w:r>
      <w:r w:rsidRPr="00F23DF7">
        <w:t xml:space="preserve">to prepare ESIF-funded call for proposals to support provision of individualised employment services for long-term unemployed, including people with disabilities, by agencies of supported </w:t>
      </w:r>
      <w:proofErr w:type="gramStart"/>
      <w:r w:rsidRPr="00F23DF7">
        <w:t>employment</w:t>
      </w:r>
      <w:r w:rsidR="00F23DF7">
        <w:t>“</w:t>
      </w:r>
      <w:proofErr w:type="gramEnd"/>
      <w:r w:rsidRPr="00F23DF7">
        <w:t>.</w:t>
      </w:r>
      <w:r w:rsidRPr="00F23DF7">
        <w:rPr>
          <w:rStyle w:val="FootnoteReference"/>
        </w:rPr>
        <w:footnoteReference w:id="16"/>
      </w:r>
      <w:r w:rsidRPr="00F23DF7">
        <w:t xml:space="preserve"> </w:t>
      </w:r>
    </w:p>
    <w:p w14:paraId="42DCA6C7" w14:textId="77777777" w:rsidR="00D73FC4" w:rsidRDefault="00D73FC4" w:rsidP="00D73FC4">
      <w:pPr>
        <w:pStyle w:val="Default"/>
        <w:jc w:val="both"/>
        <w:rPr>
          <w:rFonts w:ascii="Arial" w:hAnsi="Arial" w:cs="Arial"/>
        </w:rPr>
      </w:pPr>
    </w:p>
    <w:p w14:paraId="1041B89F" w14:textId="071EC79E" w:rsidR="00DB2BA6" w:rsidRPr="00F23DF7" w:rsidRDefault="00DB2BA6" w:rsidP="00D73FC4">
      <w:pPr>
        <w:pStyle w:val="Default"/>
        <w:jc w:val="both"/>
        <w:rPr>
          <w:rFonts w:ascii="Arial" w:hAnsi="Arial" w:cs="Arial"/>
        </w:rPr>
      </w:pPr>
      <w:r w:rsidRPr="00F23DF7">
        <w:rPr>
          <w:rFonts w:ascii="Arial" w:hAnsi="Arial" w:cs="Arial"/>
        </w:rPr>
        <w:t xml:space="preserve">Nor was the issue of high economic inactivity of PWD addressed in the Concluding observations of the UN Committee on the Rights of Persons with Disabilities. Instead, these suggested to step up the efforts for the transition from sheltered workshops into the open labour market. . </w:t>
      </w:r>
    </w:p>
    <w:p w14:paraId="5D5430E7" w14:textId="77777777" w:rsidR="003C390B" w:rsidRPr="00F23DF7" w:rsidRDefault="003C390B" w:rsidP="00D73FC4">
      <w:pPr>
        <w:spacing w:after="0"/>
        <w:jc w:val="both"/>
      </w:pPr>
    </w:p>
    <w:p w14:paraId="681162E7" w14:textId="2722A096" w:rsidR="003C390B" w:rsidRPr="005A62BD" w:rsidRDefault="0064729E" w:rsidP="00D73FC4">
      <w:pPr>
        <w:spacing w:after="0"/>
        <w:jc w:val="both"/>
      </w:pPr>
      <w:r>
        <w:t xml:space="preserve">The data presented in section 2.2 also show one </w:t>
      </w:r>
      <w:r w:rsidR="007817CA">
        <w:t xml:space="preserve">worth mentioning </w:t>
      </w:r>
      <w:r>
        <w:t xml:space="preserve">development </w:t>
      </w:r>
      <w:r w:rsidR="00D84552">
        <w:t xml:space="preserve">related just to the sub-group of PWD who </w:t>
      </w:r>
      <w:proofErr w:type="gramStart"/>
      <w:r w:rsidR="00D84552">
        <w:t>are</w:t>
      </w:r>
      <w:r w:rsidR="007817CA">
        <w:t xml:space="preserve"> unemployed registered job-seekers</w:t>
      </w:r>
      <w:proofErr w:type="gramEnd"/>
      <w:r w:rsidR="007817CA">
        <w:t xml:space="preserve">, </w:t>
      </w:r>
      <w:r>
        <w:t xml:space="preserve">namely </w:t>
      </w:r>
      <w:r w:rsidR="008C74E2" w:rsidRPr="005A62BD">
        <w:t xml:space="preserve">that in 2016, </w:t>
      </w:r>
      <w:r w:rsidR="007817CA">
        <w:t xml:space="preserve">after a three-year period of rise, </w:t>
      </w:r>
      <w:r w:rsidR="008C74E2" w:rsidRPr="005A62BD">
        <w:t xml:space="preserve">number of disabled registered job-seekers fell down </w:t>
      </w:r>
      <w:r w:rsidR="008C1039" w:rsidRPr="005A62BD">
        <w:t>by 16.39%</w:t>
      </w:r>
      <w:r w:rsidR="008C74E2" w:rsidRPr="005A62BD">
        <w:t xml:space="preserve">. However, </w:t>
      </w:r>
      <w:r w:rsidR="00144642" w:rsidRPr="005A62BD">
        <w:t xml:space="preserve">more evidence would be needed to explain this development. </w:t>
      </w:r>
      <w:r w:rsidR="002E36C6">
        <w:t>Particularly, i</w:t>
      </w:r>
      <w:r w:rsidR="00327E05">
        <w:t xml:space="preserve">t is not clear for what reasons so many disabled registered job-seekers dropped out – whether they did so because of getting a job (which could be the case considering that the labour market </w:t>
      </w:r>
      <w:r w:rsidR="002E36C6">
        <w:t xml:space="preserve">in Slovakia </w:t>
      </w:r>
      <w:r w:rsidR="00327E05">
        <w:t>is currently in a good condition), or they became economically inactive</w:t>
      </w:r>
      <w:r w:rsidR="00EF5C39">
        <w:t xml:space="preserve"> (i.e. they asked for </w:t>
      </w:r>
      <w:r w:rsidR="00DD34AE">
        <w:t xml:space="preserve">deletion </w:t>
      </w:r>
      <w:r w:rsidR="00EF5C39">
        <w:t>from the register)</w:t>
      </w:r>
      <w:r w:rsidR="00327E05">
        <w:t xml:space="preserve">. </w:t>
      </w:r>
      <w:r w:rsidR="006D24DE">
        <w:t>The counter-argument against the explanation of decreased number of disabled registered job-seekers by their integration into the labour market is that in past three years, n</w:t>
      </w:r>
      <w:r w:rsidR="00144642" w:rsidRPr="005A62BD">
        <w:t xml:space="preserve">o major </w:t>
      </w:r>
      <w:r w:rsidR="002E36C6">
        <w:t xml:space="preserve">intentional efforts to re-design </w:t>
      </w:r>
      <w:r>
        <w:t xml:space="preserve">active labour market measures to support employment of PWD </w:t>
      </w:r>
      <w:r w:rsidR="00144642" w:rsidRPr="005A62BD">
        <w:t xml:space="preserve">took place. </w:t>
      </w:r>
      <w:r w:rsidR="00D84552">
        <w:t>On the contrary, e</w:t>
      </w:r>
      <w:r w:rsidR="007729CF" w:rsidRPr="005A62BD">
        <w:t xml:space="preserve">ven the number of paid allowances to set up new workplaces (allowance to set up sheltered workshop/workplace and the self-employment allowance) declined again in the last year (for more details see part 4.1). </w:t>
      </w:r>
    </w:p>
    <w:p w14:paraId="6B1CF1BB" w14:textId="77777777" w:rsidR="00D73FC4" w:rsidRDefault="00D73FC4" w:rsidP="00D73FC4">
      <w:pPr>
        <w:pStyle w:val="Default"/>
        <w:jc w:val="both"/>
        <w:rPr>
          <w:rFonts w:ascii="Arial" w:hAnsi="Arial" w:cs="Arial"/>
        </w:rPr>
      </w:pPr>
    </w:p>
    <w:p w14:paraId="09F46A38" w14:textId="192CEA15" w:rsidR="00DB2BA6" w:rsidRPr="002C35F4" w:rsidRDefault="002E36C6" w:rsidP="00D73FC4">
      <w:pPr>
        <w:pStyle w:val="Default"/>
        <w:jc w:val="both"/>
        <w:rPr>
          <w:rFonts w:ascii="Arial" w:hAnsi="Arial" w:cs="Arial"/>
        </w:rPr>
      </w:pPr>
      <w:r w:rsidRPr="002C35F4">
        <w:rPr>
          <w:rFonts w:ascii="Arial" w:hAnsi="Arial" w:cs="Arial"/>
        </w:rPr>
        <w:t>To conclude, b</w:t>
      </w:r>
      <w:r w:rsidR="00CA7444" w:rsidRPr="002C35F4">
        <w:rPr>
          <w:rFonts w:ascii="Arial" w:hAnsi="Arial" w:cs="Arial"/>
        </w:rPr>
        <w:t xml:space="preserve">ased on the data describing economic activity of </w:t>
      </w:r>
      <w:r w:rsidR="002C35F4">
        <w:rPr>
          <w:rFonts w:ascii="Arial" w:hAnsi="Arial" w:cs="Arial"/>
        </w:rPr>
        <w:t>PWD</w:t>
      </w:r>
      <w:r w:rsidR="001058B6" w:rsidRPr="002C35F4">
        <w:rPr>
          <w:rFonts w:ascii="Arial" w:hAnsi="Arial" w:cs="Arial"/>
        </w:rPr>
        <w:t xml:space="preserve"> in section 2.2</w:t>
      </w:r>
      <w:r w:rsidR="00CA7444" w:rsidRPr="002C35F4">
        <w:rPr>
          <w:rFonts w:ascii="Arial" w:hAnsi="Arial" w:cs="Arial"/>
        </w:rPr>
        <w:t xml:space="preserve">, it is unrealistic to expect that with the current employment rate of PWD (at about 32% according to the SIA) Slovakia could meet the national 2020 target (72%). </w:t>
      </w:r>
    </w:p>
    <w:p w14:paraId="04A93F99" w14:textId="77777777" w:rsidR="00CA7444" w:rsidRPr="005A62BD" w:rsidRDefault="00CA7444" w:rsidP="00D73FC4">
      <w:pPr>
        <w:spacing w:after="0"/>
        <w:jc w:val="both"/>
      </w:pPr>
    </w:p>
    <w:p w14:paraId="69317392" w14:textId="77777777" w:rsidR="0010423F" w:rsidRPr="005A62BD" w:rsidRDefault="0010423F" w:rsidP="00D73FC4">
      <w:pPr>
        <w:pStyle w:val="Heading2"/>
      </w:pPr>
      <w:bookmarkStart w:id="18" w:name="_Toc499120879"/>
      <w:r w:rsidRPr="005A62BD">
        <w:t>Education</w:t>
      </w:r>
      <w:bookmarkEnd w:id="18"/>
    </w:p>
    <w:p w14:paraId="292B96EF" w14:textId="77777777" w:rsidR="003C390B" w:rsidRPr="005A62BD" w:rsidRDefault="003C390B" w:rsidP="00D73FC4">
      <w:pPr>
        <w:spacing w:after="0"/>
        <w:jc w:val="both"/>
      </w:pPr>
    </w:p>
    <w:p w14:paraId="11610663" w14:textId="6804A3AD" w:rsidR="00CE1948" w:rsidRDefault="00321C4B" w:rsidP="00D73FC4">
      <w:pPr>
        <w:spacing w:after="0"/>
        <w:jc w:val="both"/>
      </w:pPr>
      <w:r>
        <w:t>Compared to other EU Member States, t</w:t>
      </w:r>
      <w:r w:rsidR="00CE1948" w:rsidRPr="005A62BD">
        <w:t xml:space="preserve">he EU SILC data </w:t>
      </w:r>
      <w:r w:rsidR="00D96734">
        <w:t xml:space="preserve">presented in the section 2.3 </w:t>
      </w:r>
      <w:r w:rsidR="00CE1948" w:rsidRPr="005A62BD">
        <w:t xml:space="preserve">indicate that Slovakia has a relatively low rate of early school leaving among the </w:t>
      </w:r>
      <w:r w:rsidR="00CE1948" w:rsidRPr="005A62BD">
        <w:lastRenderedPageBreak/>
        <w:t xml:space="preserve">general population with a moderate disability equality gap. By contrast, the same data suggests a significant disparity in the tertiary education rate for persons with disabilities, where the disability gap stands out as proportionally wider than would be expected from the EU trend. </w:t>
      </w:r>
    </w:p>
    <w:p w14:paraId="1167BF30" w14:textId="77777777" w:rsidR="00D73FC4" w:rsidRDefault="00D73FC4" w:rsidP="00D73FC4">
      <w:pPr>
        <w:spacing w:after="0"/>
        <w:jc w:val="both"/>
      </w:pPr>
    </w:p>
    <w:p w14:paraId="4F31A780" w14:textId="25F70AD8" w:rsidR="00391349" w:rsidRDefault="00391349" w:rsidP="00D73FC4">
      <w:pPr>
        <w:spacing w:after="0"/>
        <w:jc w:val="both"/>
      </w:pPr>
      <w:r>
        <w:t xml:space="preserve">Because of the gap the measures proposed in NRP </w:t>
      </w:r>
      <w:r w:rsidR="009745FB">
        <w:t xml:space="preserve">which focuses on </w:t>
      </w:r>
      <w:r>
        <w:t>educational outcomes, teacher’s salaries, teacher’s continuing education, preschool capacities and the system of dual education are also relevant for persons with disabilities</w:t>
      </w:r>
      <w:r w:rsidR="009745FB">
        <w:t xml:space="preserve"> seem also very relevant from the disability perspective.</w:t>
      </w:r>
    </w:p>
    <w:p w14:paraId="523EB3EB" w14:textId="77777777" w:rsidR="00CE1948" w:rsidRPr="005A62BD" w:rsidRDefault="00CE1948" w:rsidP="00D73FC4">
      <w:pPr>
        <w:spacing w:after="0"/>
        <w:jc w:val="both"/>
      </w:pPr>
    </w:p>
    <w:p w14:paraId="2063F37B" w14:textId="35806C88" w:rsidR="003B5779" w:rsidRPr="005A62BD" w:rsidRDefault="003B5779" w:rsidP="00D73FC4">
      <w:pPr>
        <w:pStyle w:val="Un-numberedsubheading"/>
        <w:spacing w:after="0"/>
        <w:jc w:val="both"/>
      </w:pPr>
      <w:r w:rsidRPr="005A62BD">
        <w:t>Early school leavers</w:t>
      </w:r>
    </w:p>
    <w:p w14:paraId="4F8EA179" w14:textId="77777777" w:rsidR="00D73FC4" w:rsidRDefault="00D73FC4" w:rsidP="00D73FC4">
      <w:pPr>
        <w:pStyle w:val="Un-numberedsubheading"/>
        <w:spacing w:after="0"/>
        <w:jc w:val="both"/>
        <w:rPr>
          <w:b w:val="0"/>
        </w:rPr>
      </w:pPr>
    </w:p>
    <w:p w14:paraId="51879A03" w14:textId="28EA8B7C" w:rsidR="00EC5A0E" w:rsidRDefault="00EC5A0E" w:rsidP="00D73FC4">
      <w:pPr>
        <w:pStyle w:val="Un-numberedsubheading"/>
        <w:spacing w:after="0"/>
        <w:jc w:val="both"/>
        <w:rPr>
          <w:b w:val="0"/>
        </w:rPr>
      </w:pPr>
      <w:r>
        <w:rPr>
          <w:b w:val="0"/>
        </w:rPr>
        <w:t>According to the EUSILC UDB 2015 data</w:t>
      </w:r>
      <w:r w:rsidR="00D972A3">
        <w:rPr>
          <w:b w:val="0"/>
        </w:rPr>
        <w:t>,</w:t>
      </w:r>
      <w:r>
        <w:rPr>
          <w:b w:val="0"/>
        </w:rPr>
        <w:t xml:space="preserve"> the proportion of early school leavers with disabilities aged 18-24 is at EU </w:t>
      </w:r>
      <w:r w:rsidR="00D46B63">
        <w:rPr>
          <w:b w:val="0"/>
        </w:rPr>
        <w:t xml:space="preserve">2020 </w:t>
      </w:r>
      <w:r>
        <w:rPr>
          <w:b w:val="0"/>
        </w:rPr>
        <w:t xml:space="preserve">target. </w:t>
      </w:r>
      <w:proofErr w:type="gramStart"/>
      <w:r>
        <w:rPr>
          <w:b w:val="0"/>
        </w:rPr>
        <w:t>Moreover</w:t>
      </w:r>
      <w:proofErr w:type="gramEnd"/>
      <w:r>
        <w:rPr>
          <w:b w:val="0"/>
        </w:rPr>
        <w:t xml:space="preserve"> the proportion of youth aged 18-24 without disabilities is far below the EU 2020 and national targets.</w:t>
      </w:r>
    </w:p>
    <w:p w14:paraId="51646AE6" w14:textId="77777777" w:rsidR="00EC5A0E" w:rsidRDefault="00EC5A0E" w:rsidP="00D73FC4">
      <w:pPr>
        <w:pStyle w:val="Un-numberedsubheading"/>
        <w:spacing w:after="0"/>
        <w:jc w:val="both"/>
        <w:rPr>
          <w:b w:val="0"/>
        </w:rPr>
      </w:pPr>
    </w:p>
    <w:p w14:paraId="47B7D64D" w14:textId="0A019968" w:rsidR="00EC5A0E" w:rsidRDefault="003B5779" w:rsidP="00D73FC4">
      <w:pPr>
        <w:pStyle w:val="Un-numberedsubheading"/>
        <w:spacing w:after="0"/>
        <w:jc w:val="both"/>
        <w:rPr>
          <w:b w:val="0"/>
        </w:rPr>
      </w:pPr>
      <w:r w:rsidRPr="005A62BD">
        <w:rPr>
          <w:b w:val="0"/>
        </w:rPr>
        <w:t xml:space="preserve">However, according to the EUSILC UDB </w:t>
      </w:r>
      <w:r w:rsidR="004E367F" w:rsidRPr="005A62BD">
        <w:rPr>
          <w:b w:val="0"/>
        </w:rPr>
        <w:t xml:space="preserve">2015 </w:t>
      </w:r>
      <w:r w:rsidRPr="005A62BD">
        <w:rPr>
          <w:b w:val="0"/>
        </w:rPr>
        <w:t>data</w:t>
      </w:r>
      <w:r w:rsidR="00321C4B">
        <w:rPr>
          <w:b w:val="0"/>
        </w:rPr>
        <w:t>,</w:t>
      </w:r>
      <w:r w:rsidRPr="005A62BD">
        <w:rPr>
          <w:b w:val="0"/>
        </w:rPr>
        <w:t xml:space="preserve"> the proportion of early school leavers seems to be higher among youth with disabilities tha</w:t>
      </w:r>
      <w:r w:rsidR="00321C4B">
        <w:rPr>
          <w:b w:val="0"/>
        </w:rPr>
        <w:t>n</w:t>
      </w:r>
      <w:r w:rsidRPr="005A62BD">
        <w:rPr>
          <w:b w:val="0"/>
        </w:rPr>
        <w:t xml:space="preserve"> in the group of non-disabled young population. </w:t>
      </w:r>
      <w:r w:rsidR="00EC5A0E">
        <w:rPr>
          <w:b w:val="0"/>
        </w:rPr>
        <w:t>It differs in 6.5 percentage points among 18-24-year olds.</w:t>
      </w:r>
    </w:p>
    <w:p w14:paraId="37E05AA0" w14:textId="541E4930" w:rsidR="00D972A3" w:rsidRDefault="00D972A3" w:rsidP="00D73FC4">
      <w:pPr>
        <w:pStyle w:val="Un-numberedsubheading"/>
        <w:spacing w:after="0"/>
        <w:jc w:val="both"/>
        <w:rPr>
          <w:b w:val="0"/>
        </w:rPr>
      </w:pPr>
      <w:r>
        <w:rPr>
          <w:b w:val="0"/>
        </w:rPr>
        <w:t xml:space="preserve">To find out reasons of this trend </w:t>
      </w:r>
      <w:r w:rsidR="009745FB">
        <w:rPr>
          <w:b w:val="0"/>
        </w:rPr>
        <w:t>further research would be useful which would be focused on early school leavers with disability</w:t>
      </w:r>
      <w:r>
        <w:rPr>
          <w:b w:val="0"/>
        </w:rPr>
        <w:t xml:space="preserve"> by the type </w:t>
      </w:r>
      <w:r w:rsidR="00F45A0E">
        <w:rPr>
          <w:b w:val="0"/>
        </w:rPr>
        <w:t xml:space="preserve">and level </w:t>
      </w:r>
      <w:r>
        <w:rPr>
          <w:b w:val="0"/>
        </w:rPr>
        <w:t xml:space="preserve">of </w:t>
      </w:r>
      <w:r w:rsidR="009745FB">
        <w:rPr>
          <w:b w:val="0"/>
        </w:rPr>
        <w:t>disability</w:t>
      </w:r>
      <w:r>
        <w:rPr>
          <w:b w:val="0"/>
        </w:rPr>
        <w:t xml:space="preserve"> </w:t>
      </w:r>
    </w:p>
    <w:p w14:paraId="03B37D0B" w14:textId="74C9FA98" w:rsidR="003B5779" w:rsidRPr="005A62BD" w:rsidRDefault="003B5779" w:rsidP="00D73FC4">
      <w:pPr>
        <w:pStyle w:val="Un-numberedsubheading"/>
        <w:spacing w:after="0"/>
        <w:jc w:val="both"/>
        <w:rPr>
          <w:b w:val="0"/>
        </w:rPr>
      </w:pPr>
    </w:p>
    <w:p w14:paraId="4E7DEE0F" w14:textId="4525CDB1" w:rsidR="00EC5A0E" w:rsidRDefault="008635D1" w:rsidP="00D73FC4">
      <w:pPr>
        <w:pStyle w:val="Un-numberedsubheading"/>
        <w:spacing w:after="0"/>
        <w:jc w:val="both"/>
        <w:rPr>
          <w:b w:val="0"/>
        </w:rPr>
      </w:pPr>
      <w:r>
        <w:rPr>
          <w:b w:val="0"/>
        </w:rPr>
        <w:t xml:space="preserve">On the other hand, </w:t>
      </w:r>
      <w:r w:rsidR="00EC5A0E">
        <w:rPr>
          <w:b w:val="0"/>
        </w:rPr>
        <w:t>according to the</w:t>
      </w:r>
      <w:r>
        <w:rPr>
          <w:b w:val="0"/>
        </w:rPr>
        <w:t xml:space="preserve"> L</w:t>
      </w:r>
      <w:r w:rsidR="00EC5A0E">
        <w:rPr>
          <w:b w:val="0"/>
        </w:rPr>
        <w:t>F</w:t>
      </w:r>
      <w:r>
        <w:rPr>
          <w:b w:val="0"/>
        </w:rPr>
        <w:t>S</w:t>
      </w:r>
      <w:r w:rsidR="00EC5A0E">
        <w:rPr>
          <w:b w:val="0"/>
        </w:rPr>
        <w:t xml:space="preserve"> data,</w:t>
      </w:r>
      <w:r>
        <w:rPr>
          <w:b w:val="0"/>
        </w:rPr>
        <w:t xml:space="preserve"> </w:t>
      </w:r>
      <w:r w:rsidR="00EC5A0E">
        <w:rPr>
          <w:b w:val="0"/>
        </w:rPr>
        <w:t>the number of</w:t>
      </w:r>
      <w:r>
        <w:rPr>
          <w:b w:val="0"/>
        </w:rPr>
        <w:t xml:space="preserve"> early school leavers </w:t>
      </w:r>
      <w:r w:rsidR="00EC5A0E">
        <w:rPr>
          <w:b w:val="0"/>
        </w:rPr>
        <w:t xml:space="preserve">aged 18-24 has been increasing steadily and in 2013 it exceeded the national target of 6%. </w:t>
      </w:r>
    </w:p>
    <w:p w14:paraId="243197B4" w14:textId="7DD01C0C" w:rsidR="008635D1" w:rsidRDefault="00F45A0E" w:rsidP="00D73FC4">
      <w:pPr>
        <w:pStyle w:val="Un-numberedsubheading"/>
        <w:spacing w:after="0"/>
        <w:jc w:val="both"/>
        <w:rPr>
          <w:b w:val="0"/>
        </w:rPr>
      </w:pPr>
      <w:r>
        <w:rPr>
          <w:b w:val="0"/>
        </w:rPr>
        <w:t>T</w:t>
      </w:r>
      <w:r w:rsidR="003B5779" w:rsidRPr="005A62BD">
        <w:rPr>
          <w:b w:val="0"/>
        </w:rPr>
        <w:t>he EUSILC UDB</w:t>
      </w:r>
      <w:r w:rsidR="005A62BD">
        <w:rPr>
          <w:b w:val="0"/>
        </w:rPr>
        <w:t xml:space="preserve"> </w:t>
      </w:r>
      <w:r w:rsidR="003220C8" w:rsidRPr="005A62BD">
        <w:rPr>
          <w:b w:val="0"/>
        </w:rPr>
        <w:t>2015</w:t>
      </w:r>
      <w:r w:rsidR="003B5779" w:rsidRPr="005A62BD">
        <w:rPr>
          <w:b w:val="0"/>
        </w:rPr>
        <w:t xml:space="preserve"> data show much higher proportion of early school leavers</w:t>
      </w:r>
      <w:r>
        <w:rPr>
          <w:b w:val="0"/>
        </w:rPr>
        <w:t xml:space="preserve"> </w:t>
      </w:r>
      <w:r w:rsidR="00454CCE">
        <w:rPr>
          <w:b w:val="0"/>
        </w:rPr>
        <w:t>than</w:t>
      </w:r>
      <w:r>
        <w:rPr>
          <w:b w:val="0"/>
        </w:rPr>
        <w:t xml:space="preserve"> LFS data</w:t>
      </w:r>
      <w:r w:rsidR="003B5779" w:rsidRPr="005A62BD">
        <w:rPr>
          <w:b w:val="0"/>
        </w:rPr>
        <w:t xml:space="preserve">. </w:t>
      </w:r>
      <w:r w:rsidR="004450AF" w:rsidRPr="005A62BD">
        <w:rPr>
          <w:b w:val="0"/>
        </w:rPr>
        <w:t xml:space="preserve">With </w:t>
      </w:r>
      <w:r>
        <w:rPr>
          <w:b w:val="0"/>
        </w:rPr>
        <w:t>an</w:t>
      </w:r>
      <w:r w:rsidR="004450AF" w:rsidRPr="005A62BD">
        <w:rPr>
          <w:b w:val="0"/>
        </w:rPr>
        <w:t xml:space="preserve"> exception of LFS 2013, the national LFS data have shown the proportion of economically active low-educated (ISCED 0-2) people with disabilities aged 15-29 below 1% since 2012. </w:t>
      </w:r>
    </w:p>
    <w:p w14:paraId="2525DE55" w14:textId="77777777" w:rsidR="00F45A0E" w:rsidRDefault="00F45A0E" w:rsidP="00D73FC4">
      <w:pPr>
        <w:pStyle w:val="Un-numberedsubheading"/>
        <w:spacing w:after="0"/>
        <w:jc w:val="both"/>
        <w:rPr>
          <w:b w:val="0"/>
        </w:rPr>
      </w:pPr>
    </w:p>
    <w:p w14:paraId="1DB832D4" w14:textId="7BE34B74" w:rsidR="00F45A0E" w:rsidRDefault="00454CCE" w:rsidP="00D73FC4">
      <w:pPr>
        <w:jc w:val="both"/>
      </w:pPr>
      <w:r>
        <w:t>Concerning</w:t>
      </w:r>
      <w:r w:rsidR="00F45A0E">
        <w:t xml:space="preserve"> people with disabilities, it should be noted that the LFS data do not bring the specific category on early school leavers with disabilities</w:t>
      </w:r>
      <w:r>
        <w:t xml:space="preserve"> aged 18-24 (or 18-29)</w:t>
      </w:r>
      <w:r w:rsidR="00F45A0E">
        <w:t>. Their proportion can be only assumed based on the proportion of persons with low-education (ISCED 0-2)</w:t>
      </w:r>
      <w:r>
        <w:t xml:space="preserve"> but these data are not disaggregated by age</w:t>
      </w:r>
      <w:r w:rsidR="00F45A0E">
        <w:t xml:space="preserve">. </w:t>
      </w:r>
      <w:r>
        <w:t>Moreover</w:t>
      </w:r>
      <w:r w:rsidR="00F45A0E">
        <w:t xml:space="preserve">, these LFS data are not complete because the </w:t>
      </w:r>
      <w:r>
        <w:t>proportion</w:t>
      </w:r>
      <w:r w:rsidR="00F45A0E">
        <w:t xml:space="preserve"> economically inactive persons with disabilities</w:t>
      </w:r>
      <w:r>
        <w:t xml:space="preserve"> with low education is</w:t>
      </w:r>
      <w:r w:rsidR="00F45A0E">
        <w:t xml:space="preserve"> not available.</w:t>
      </w:r>
    </w:p>
    <w:p w14:paraId="64AEB68A" w14:textId="56919DFB" w:rsidR="00D96734" w:rsidRDefault="00454CCE" w:rsidP="00D73FC4">
      <w:pPr>
        <w:pStyle w:val="Un-numberedsubheading"/>
        <w:spacing w:after="0"/>
        <w:jc w:val="both"/>
        <w:rPr>
          <w:b w:val="0"/>
        </w:rPr>
      </w:pPr>
      <w:r>
        <w:rPr>
          <w:b w:val="0"/>
        </w:rPr>
        <w:t>Besides</w:t>
      </w:r>
      <w:r w:rsidR="00F45A0E">
        <w:rPr>
          <w:b w:val="0"/>
        </w:rPr>
        <w:t>, a</w:t>
      </w:r>
      <w:r w:rsidR="00D96734" w:rsidRPr="00CB6BD6">
        <w:rPr>
          <w:b w:val="0"/>
        </w:rPr>
        <w:t xml:space="preserve">s in </w:t>
      </w:r>
      <w:r w:rsidR="00D46B63">
        <w:rPr>
          <w:b w:val="0"/>
        </w:rPr>
        <w:t>section 3.1</w:t>
      </w:r>
      <w:r w:rsidR="00D96734" w:rsidRPr="00CB6BD6">
        <w:rPr>
          <w:b w:val="0"/>
        </w:rPr>
        <w:t>, the difference between LFS and EU SILC data has methodological reason</w:t>
      </w:r>
      <w:r w:rsidR="00D46B63">
        <w:rPr>
          <w:b w:val="0"/>
        </w:rPr>
        <w:t>s</w:t>
      </w:r>
      <w:r w:rsidR="00D96734" w:rsidRPr="00CB6BD6">
        <w:rPr>
          <w:b w:val="0"/>
        </w:rPr>
        <w:t xml:space="preserve"> (self-reporting in case of EU SILC, versus survey/ registry of PWD on grounds of the administrative assessment, sample age, sample size, frequency of data collection, weights).</w:t>
      </w:r>
    </w:p>
    <w:p w14:paraId="35138005" w14:textId="77777777" w:rsidR="00454CCE" w:rsidRDefault="00454CCE" w:rsidP="00D73FC4">
      <w:pPr>
        <w:pStyle w:val="Un-numberedsubheading"/>
        <w:spacing w:after="0"/>
        <w:jc w:val="both"/>
        <w:rPr>
          <w:b w:val="0"/>
        </w:rPr>
      </w:pPr>
    </w:p>
    <w:p w14:paraId="29962248" w14:textId="50646FF0" w:rsidR="00D73FC4" w:rsidRPr="003B54BB" w:rsidRDefault="008635D1" w:rsidP="00D73FC4">
      <w:pPr>
        <w:spacing w:after="0"/>
        <w:jc w:val="both"/>
      </w:pPr>
      <w:r>
        <w:t xml:space="preserve">In general, early school leaving is </w:t>
      </w:r>
      <w:r w:rsidR="001D034C">
        <w:t>not a discussed</w:t>
      </w:r>
      <w:r>
        <w:t xml:space="preserve"> </w:t>
      </w:r>
      <w:r w:rsidR="00454CCE">
        <w:t>topic itself</w:t>
      </w:r>
      <w:r w:rsidR="006238D5">
        <w:t xml:space="preserve"> in NRP 2017. Rather following reasons for early school leaving are the issues. It can be</w:t>
      </w:r>
      <w:r w:rsidR="00F13103">
        <w:t xml:space="preserve"> assume</w:t>
      </w:r>
      <w:r w:rsidR="006238D5">
        <w:t xml:space="preserve">d </w:t>
      </w:r>
      <w:r w:rsidR="00F13103">
        <w:t xml:space="preserve">that </w:t>
      </w:r>
      <w:r w:rsidR="006238D5">
        <w:t>early school leavers</w:t>
      </w:r>
      <w:r w:rsidR="00F13103">
        <w:t xml:space="preserve"> are mostly people from socially disadvantaged background. Worsening their and their </w:t>
      </w:r>
      <w:proofErr w:type="gramStart"/>
      <w:r w:rsidR="00F13103">
        <w:t>families</w:t>
      </w:r>
      <w:proofErr w:type="gramEnd"/>
      <w:r w:rsidR="00F13103">
        <w:t xml:space="preserve"> social conditions might have caused this increase</w:t>
      </w:r>
      <w:r w:rsidR="00626B0E">
        <w:t xml:space="preserve"> but there is no research on it</w:t>
      </w:r>
      <w:r w:rsidR="00F13103">
        <w:t>.</w:t>
      </w:r>
      <w:r w:rsidR="001D034C">
        <w:t xml:space="preserve"> </w:t>
      </w:r>
      <w:proofErr w:type="gramStart"/>
      <w:r w:rsidR="001D034C">
        <w:t>Also</w:t>
      </w:r>
      <w:proofErr w:type="gramEnd"/>
      <w:r w:rsidR="001D034C">
        <w:t xml:space="preserve"> the lack of access to pre-primary education can cause their gaps in school readiness, worse learning outcomes and</w:t>
      </w:r>
      <w:r w:rsidR="00626B0E">
        <w:t xml:space="preserve"> cause</w:t>
      </w:r>
      <w:r w:rsidR="001D034C">
        <w:t xml:space="preserve"> leaving school early in the end. </w:t>
      </w:r>
    </w:p>
    <w:p w14:paraId="1AD075C0" w14:textId="75231660" w:rsidR="003B5779" w:rsidRDefault="003B5779" w:rsidP="00D73FC4">
      <w:pPr>
        <w:spacing w:after="0"/>
        <w:jc w:val="both"/>
        <w:rPr>
          <w:b/>
        </w:rPr>
      </w:pPr>
      <w:r w:rsidRPr="005A62BD">
        <w:rPr>
          <w:b/>
        </w:rPr>
        <w:lastRenderedPageBreak/>
        <w:t>Tertiary education</w:t>
      </w:r>
    </w:p>
    <w:p w14:paraId="5E1E4EA5" w14:textId="77777777" w:rsidR="005A62BD" w:rsidRPr="005A62BD" w:rsidRDefault="005A62BD" w:rsidP="00D73FC4">
      <w:pPr>
        <w:spacing w:after="0"/>
        <w:jc w:val="both"/>
        <w:rPr>
          <w:b/>
        </w:rPr>
      </w:pPr>
    </w:p>
    <w:p w14:paraId="33CAF110" w14:textId="77777777" w:rsidR="002C56DE" w:rsidRPr="005A62BD" w:rsidRDefault="002C56DE" w:rsidP="00D73FC4">
      <w:pPr>
        <w:spacing w:after="0"/>
        <w:jc w:val="both"/>
      </w:pPr>
      <w:r w:rsidRPr="005A62BD">
        <w:t>Generally, the EUSILC UDB 2015 European and national data show continuing positive trends in tertiary education attainment among persons with disabilities.</w:t>
      </w:r>
    </w:p>
    <w:p w14:paraId="0B8EBCB2" w14:textId="77777777" w:rsidR="002C56DE" w:rsidRPr="005A62BD" w:rsidRDefault="002C56DE" w:rsidP="00D73FC4">
      <w:pPr>
        <w:spacing w:after="0"/>
        <w:jc w:val="both"/>
      </w:pPr>
    </w:p>
    <w:p w14:paraId="090D6C4A" w14:textId="7484FEE8" w:rsidR="002C56DE" w:rsidRPr="005A62BD" w:rsidRDefault="00CF4F3F" w:rsidP="00D73FC4">
      <w:pPr>
        <w:pStyle w:val="BodyText"/>
        <w:spacing w:after="0"/>
        <w:jc w:val="both"/>
      </w:pPr>
      <w:r w:rsidRPr="005A62BD">
        <w:t>Moreover,</w:t>
      </w:r>
      <w:r w:rsidR="002C56DE" w:rsidRPr="005A62BD">
        <w:t xml:space="preserve"> </w:t>
      </w:r>
      <w:r w:rsidR="00006E00" w:rsidRPr="005A62BD">
        <w:t>a surprising</w:t>
      </w:r>
      <w:r w:rsidR="002C56DE" w:rsidRPr="005A62BD">
        <w:t xml:space="preserve"> trend has been noticed at the national level. The proportion of </w:t>
      </w:r>
      <w:r w:rsidR="00B56A4B">
        <w:t xml:space="preserve">tertiary educated persons </w:t>
      </w:r>
      <w:r w:rsidR="002C56DE" w:rsidRPr="005A62BD">
        <w:t>w</w:t>
      </w:r>
      <w:r w:rsidR="00B56A4B">
        <w:t>ith disabilities</w:t>
      </w:r>
      <w:r w:rsidR="002C56DE" w:rsidRPr="005A62BD">
        <w:t xml:space="preserve"> exceeds the levels of university/college educated persons without disabilities (</w:t>
      </w:r>
      <w:proofErr w:type="spellStart"/>
      <w:r w:rsidR="002C56DE" w:rsidRPr="005A62BD">
        <w:t>PwD</w:t>
      </w:r>
      <w:proofErr w:type="spellEnd"/>
      <w:r w:rsidR="002C56DE" w:rsidRPr="005A62BD">
        <w:t xml:space="preserve"> aged 30-34 exceeds in 9.7 p.p. and </w:t>
      </w:r>
      <w:proofErr w:type="spellStart"/>
      <w:r w:rsidR="002C56DE" w:rsidRPr="005A62BD">
        <w:t>PwD</w:t>
      </w:r>
      <w:proofErr w:type="spellEnd"/>
      <w:r w:rsidR="002C56DE" w:rsidRPr="005A62BD">
        <w:t xml:space="preserve"> aged 30-39 exceeds in 3.4 p.p.). </w:t>
      </w:r>
    </w:p>
    <w:p w14:paraId="62FFF7AC" w14:textId="77777777" w:rsidR="002C56DE" w:rsidRPr="005A62BD" w:rsidRDefault="002C56DE" w:rsidP="00D73FC4">
      <w:pPr>
        <w:pStyle w:val="BodyText"/>
        <w:spacing w:after="0"/>
        <w:jc w:val="both"/>
      </w:pPr>
    </w:p>
    <w:p w14:paraId="10CD6272" w14:textId="3D83F32A" w:rsidR="002C56DE" w:rsidRPr="005A62BD" w:rsidRDefault="002C56DE" w:rsidP="00D73FC4">
      <w:pPr>
        <w:spacing w:after="0"/>
        <w:jc w:val="both"/>
      </w:pPr>
      <w:r w:rsidRPr="005A62BD">
        <w:t xml:space="preserve">At the national </w:t>
      </w:r>
      <w:r w:rsidR="00CF4F3F" w:rsidRPr="005A62BD">
        <w:t>level,</w:t>
      </w:r>
      <w:r w:rsidRPr="005A62BD">
        <w:t xml:space="preserve"> the proportion of tertiary educat</w:t>
      </w:r>
      <w:r w:rsidR="00B56A4B">
        <w:t>ed person with disabilities</w:t>
      </w:r>
      <w:r w:rsidRPr="005A62BD">
        <w:t xml:space="preserve"> has risen by 11 p.p. (from 33.2 to 44.9) within the period 2014-</w:t>
      </w:r>
      <w:r w:rsidR="00CF4F3F" w:rsidRPr="005A62BD">
        <w:t>2015, which</w:t>
      </w:r>
      <w:r w:rsidRPr="005A62BD">
        <w:t xml:space="preserve"> has been the steepest increase since 2008. </w:t>
      </w:r>
      <w:r w:rsidR="00DC4197" w:rsidRPr="005A62BD">
        <w:t>Such a</w:t>
      </w:r>
      <w:r w:rsidRPr="005A62BD">
        <w:t xml:space="preserve"> trend has not been noticed among persons without disabilities at the national level nor has it been within the EU data. </w:t>
      </w:r>
      <w:r w:rsidR="00006E00" w:rsidRPr="005A62BD">
        <w:t xml:space="preserve">It is possible that a change in ISCED classification (to include ‘short-cycle’ tertiary courses) has some effect or the trend may be affected by </w:t>
      </w:r>
      <w:r w:rsidR="00CE1B8A">
        <w:t xml:space="preserve">for the decision of </w:t>
      </w:r>
      <w:r w:rsidR="00B56A4B">
        <w:t>persons with disabilities</w:t>
      </w:r>
      <w:r w:rsidR="00006E00" w:rsidRPr="005A62BD">
        <w:t xml:space="preserve"> to attend tertiary education rather than remaining unemployed (mainly those without severe disabilities). These hypotheses require further </w:t>
      </w:r>
      <w:r w:rsidR="00B56A4B">
        <w:t>research.</w:t>
      </w:r>
    </w:p>
    <w:p w14:paraId="63078D77" w14:textId="77777777" w:rsidR="002C56DE" w:rsidRPr="005A62BD" w:rsidRDefault="002C56DE" w:rsidP="00D73FC4">
      <w:pPr>
        <w:spacing w:after="0"/>
        <w:jc w:val="both"/>
      </w:pPr>
    </w:p>
    <w:p w14:paraId="414572B5" w14:textId="01E7B246" w:rsidR="00065B6B" w:rsidRPr="005A62BD" w:rsidRDefault="00065B6B" w:rsidP="00D73FC4">
      <w:pPr>
        <w:spacing w:after="0"/>
        <w:jc w:val="both"/>
      </w:pPr>
      <w:r w:rsidRPr="005A62BD">
        <w:t xml:space="preserve">According to the LFS national data on disability and tertiary education there has been an increase of economically active </w:t>
      </w:r>
      <w:proofErr w:type="spellStart"/>
      <w:r w:rsidRPr="005A62BD">
        <w:t>PwD</w:t>
      </w:r>
      <w:proofErr w:type="spellEnd"/>
      <w:r w:rsidRPr="005A62BD">
        <w:t xml:space="preserve"> with tertiary education at 5.5 pp in 2012-2014 followed by the decline by 3</w:t>
      </w:r>
      <w:r w:rsidR="003F359E" w:rsidRPr="005A62BD">
        <w:t>.</w:t>
      </w:r>
      <w:r w:rsidRPr="005A62BD">
        <w:t xml:space="preserve">2 </w:t>
      </w:r>
      <w:proofErr w:type="spellStart"/>
      <w:proofErr w:type="gramStart"/>
      <w:r w:rsidRPr="005A62BD">
        <w:t>p</w:t>
      </w:r>
      <w:r w:rsidR="00DC4197" w:rsidRPr="005A62BD">
        <w:t>.</w:t>
      </w:r>
      <w:r w:rsidRPr="005A62BD">
        <w:t>p</w:t>
      </w:r>
      <w:proofErr w:type="spellEnd"/>
      <w:proofErr w:type="gramEnd"/>
      <w:r w:rsidRPr="005A62BD">
        <w:t xml:space="preserve"> </w:t>
      </w:r>
      <w:r w:rsidR="00DC4197" w:rsidRPr="005A62BD">
        <w:t>(from 7</w:t>
      </w:r>
      <w:r w:rsidR="00DC4197" w:rsidRPr="005A62BD">
        <w:rPr>
          <w:lang w:val="sk-SK"/>
        </w:rPr>
        <w:t>% to 3.8%)</w:t>
      </w:r>
      <w:r w:rsidR="00DC4197" w:rsidRPr="005A62BD">
        <w:t xml:space="preserve"> </w:t>
      </w:r>
      <w:r w:rsidRPr="005A62BD">
        <w:t>in 2015.</w:t>
      </w:r>
    </w:p>
    <w:p w14:paraId="53E4DE34" w14:textId="77777777" w:rsidR="00DC4197" w:rsidRPr="005A62BD" w:rsidRDefault="00DC4197" w:rsidP="00D73FC4">
      <w:pPr>
        <w:spacing w:after="0"/>
        <w:jc w:val="both"/>
      </w:pPr>
    </w:p>
    <w:p w14:paraId="3D49FB7E" w14:textId="10AE8F1C" w:rsidR="00CB6BD6" w:rsidRDefault="00CB6BD6" w:rsidP="00D73FC4">
      <w:pPr>
        <w:spacing w:after="0"/>
        <w:jc w:val="both"/>
      </w:pPr>
      <w:r>
        <w:t>As it was mentioned in previous sections, t</w:t>
      </w:r>
      <w:r w:rsidR="003B5779" w:rsidRPr="005A62BD">
        <w:t>he EUSILC UDB data vary in a great extent from the national LFS data mainly due to the different methodology approaches (e.g. sample age, sample size, frequency of data collection, weights)</w:t>
      </w:r>
      <w:r w:rsidR="003B5779" w:rsidRPr="005A62BD">
        <w:rPr>
          <w:rStyle w:val="FootnoteReference"/>
        </w:rPr>
        <w:footnoteReference w:id="17"/>
      </w:r>
      <w:r w:rsidR="003B5779" w:rsidRPr="005A62BD">
        <w:t xml:space="preserve"> and available data structure. </w:t>
      </w:r>
    </w:p>
    <w:p w14:paraId="10707CA9" w14:textId="77777777" w:rsidR="00D73FC4" w:rsidRDefault="00D73FC4" w:rsidP="00D73FC4">
      <w:pPr>
        <w:spacing w:after="0"/>
        <w:jc w:val="both"/>
      </w:pPr>
    </w:p>
    <w:p w14:paraId="58B595F9" w14:textId="3F49E204" w:rsidR="00BA5ADB" w:rsidRPr="005A62BD" w:rsidRDefault="00454CCE" w:rsidP="00D73FC4">
      <w:pPr>
        <w:spacing w:after="0"/>
        <w:jc w:val="both"/>
      </w:pPr>
      <w:r>
        <w:t>As among early school leavers, p</w:t>
      </w:r>
      <w:r w:rsidR="003B5779" w:rsidRPr="005A62BD">
        <w:t>resented national data on education</w:t>
      </w:r>
      <w:r w:rsidR="00B56A4B">
        <w:t xml:space="preserve"> levels</w:t>
      </w:r>
      <w:r w:rsidR="003B5779" w:rsidRPr="005A62BD">
        <w:t xml:space="preserve"> comprise only economically active population</w:t>
      </w:r>
      <w:r>
        <w:t xml:space="preserve"> without disaggregation by age</w:t>
      </w:r>
      <w:r w:rsidR="003B5779" w:rsidRPr="005A62BD">
        <w:t xml:space="preserve">. There has been no specific data on economically inactive population with disabilities provided by the Statistical Office of the SR </w:t>
      </w:r>
      <w:r w:rsidR="003F359E" w:rsidRPr="005A62BD">
        <w:t>by</w:t>
      </w:r>
      <w:r w:rsidR="003B5779" w:rsidRPr="005A62BD">
        <w:t xml:space="preserve"> October 2016. Specifically, due to these reasons there has been a large difference in proportion of early school leavers with disabilities and </w:t>
      </w:r>
      <w:proofErr w:type="spellStart"/>
      <w:r w:rsidR="003B5779" w:rsidRPr="005A62BD">
        <w:t>PwD</w:t>
      </w:r>
      <w:proofErr w:type="spellEnd"/>
      <w:r w:rsidR="003B5779" w:rsidRPr="005A62BD">
        <w:t xml:space="preserve"> with tertiary education between EU-SILC data and the national LFS data. </w:t>
      </w:r>
    </w:p>
    <w:p w14:paraId="07B8D5DA" w14:textId="77777777" w:rsidR="003C390B" w:rsidRPr="005A62BD" w:rsidRDefault="003C390B" w:rsidP="00D73FC4">
      <w:pPr>
        <w:spacing w:after="0"/>
        <w:jc w:val="both"/>
      </w:pPr>
    </w:p>
    <w:p w14:paraId="58F0BE05" w14:textId="77777777" w:rsidR="0010423F" w:rsidRPr="005A62BD" w:rsidRDefault="0010423F" w:rsidP="00D73FC4">
      <w:pPr>
        <w:pStyle w:val="Heading2"/>
      </w:pPr>
      <w:bookmarkStart w:id="19" w:name="_Toc499120880"/>
      <w:r w:rsidRPr="005A62BD">
        <w:t>Poverty and social inclusion</w:t>
      </w:r>
      <w:bookmarkEnd w:id="19"/>
    </w:p>
    <w:p w14:paraId="26B6BE01" w14:textId="2EE4CCCA" w:rsidR="003C390B" w:rsidRPr="005A62BD" w:rsidRDefault="003C390B" w:rsidP="00D73FC4">
      <w:pPr>
        <w:spacing w:after="0"/>
        <w:jc w:val="both"/>
      </w:pPr>
    </w:p>
    <w:p w14:paraId="5E48BD38" w14:textId="39F34C9C" w:rsidR="00EB4892" w:rsidRPr="005A62BD" w:rsidRDefault="00EB4892" w:rsidP="00D73FC4">
      <w:pPr>
        <w:spacing w:after="0"/>
        <w:jc w:val="both"/>
      </w:pPr>
      <w:r w:rsidRPr="005A62BD">
        <w:t>The 2017 EU Joint Employment Report considered Slovakia to be one of the ‘best performers’ in relation to poverty risk. The EU level indicators suggest a comparatively low rate of relative poverty for persons with disabilities too, before and after social transfers, including for those with more severe impairments (one of the lowest rates in the EU). In-work poverty rate also appears moderately low.</w:t>
      </w:r>
      <w:r w:rsidRPr="005A62BD">
        <w:rPr>
          <w:rStyle w:val="FootnoteReference"/>
        </w:rPr>
        <w:footnoteReference w:id="18"/>
      </w:r>
      <w:r w:rsidRPr="005A62BD">
        <w:t xml:space="preserve"> </w:t>
      </w:r>
    </w:p>
    <w:p w14:paraId="4BA3ED53" w14:textId="3EBD692C" w:rsidR="00C9768D" w:rsidRPr="005A62BD" w:rsidRDefault="00450EBE" w:rsidP="00D73FC4">
      <w:pPr>
        <w:spacing w:after="0"/>
        <w:jc w:val="both"/>
      </w:pPr>
      <w:r w:rsidRPr="005A62BD">
        <w:lastRenderedPageBreak/>
        <w:t xml:space="preserve">As </w:t>
      </w:r>
      <w:r w:rsidR="0008202F" w:rsidRPr="005A62BD">
        <w:t xml:space="preserve">shown in </w:t>
      </w:r>
      <w:r w:rsidRPr="005A62BD">
        <w:t xml:space="preserve">the graphs in section </w:t>
      </w:r>
      <w:r w:rsidR="00C34FA2" w:rsidRPr="005A62BD">
        <w:t>2</w:t>
      </w:r>
      <w:r w:rsidRPr="005A62BD">
        <w:t>.4</w:t>
      </w:r>
      <w:r w:rsidR="00F90E2E" w:rsidRPr="005A62BD">
        <w:t>,</w:t>
      </w:r>
      <w:r w:rsidRPr="005A62BD">
        <w:t xml:space="preserve"> </w:t>
      </w:r>
      <w:r w:rsidR="00430FFF" w:rsidRPr="005A62BD">
        <w:t>in 201</w:t>
      </w:r>
      <w:r w:rsidR="00542497" w:rsidRPr="005A62BD">
        <w:t>5</w:t>
      </w:r>
      <w:r w:rsidR="00430FFF" w:rsidRPr="005A62BD">
        <w:t xml:space="preserve"> </w:t>
      </w:r>
      <w:r w:rsidR="00F90E2E" w:rsidRPr="005A62BD">
        <w:t xml:space="preserve">in </w:t>
      </w:r>
      <w:r w:rsidR="00430FFF" w:rsidRPr="005A62BD">
        <w:t xml:space="preserve">total </w:t>
      </w:r>
      <w:r w:rsidR="00C34FA2" w:rsidRPr="005A62BD">
        <w:t>19</w:t>
      </w:r>
      <w:r w:rsidR="007330CF" w:rsidRPr="005A62BD">
        <w:t>,4</w:t>
      </w:r>
      <w:r w:rsidR="00430FFF" w:rsidRPr="005A62BD">
        <w:t>% of persons with moderate and 2</w:t>
      </w:r>
      <w:r w:rsidR="007330CF" w:rsidRPr="005A62BD">
        <w:t>4</w:t>
      </w:r>
      <w:r w:rsidR="002E4EE6" w:rsidRPr="005A62BD">
        <w:t>.</w:t>
      </w:r>
      <w:r w:rsidR="007330CF" w:rsidRPr="005A62BD">
        <w:t>7</w:t>
      </w:r>
      <w:r w:rsidR="00430FFF" w:rsidRPr="005A62BD">
        <w:t>% of persons with severe disabilit</w:t>
      </w:r>
      <w:r w:rsidR="006734D9" w:rsidRPr="005A62BD">
        <w:t>ies</w:t>
      </w:r>
      <w:r w:rsidR="00430FFF" w:rsidRPr="005A62BD">
        <w:t xml:space="preserve"> </w:t>
      </w:r>
      <w:r w:rsidR="0008202F" w:rsidRPr="005A62BD">
        <w:t xml:space="preserve">in Slovakia </w:t>
      </w:r>
      <w:r w:rsidR="00430FFF" w:rsidRPr="005A62BD">
        <w:t>lived in household</w:t>
      </w:r>
      <w:r w:rsidR="006734D9" w:rsidRPr="005A62BD">
        <w:t>s</w:t>
      </w:r>
      <w:r w:rsidR="00430FFF" w:rsidRPr="005A62BD">
        <w:t xml:space="preserve"> </w:t>
      </w:r>
      <w:r w:rsidR="006734D9" w:rsidRPr="005A62BD">
        <w:t xml:space="preserve">in general risk of </w:t>
      </w:r>
      <w:r w:rsidR="00430FFF" w:rsidRPr="005A62BD">
        <w:t xml:space="preserve">poverty and social exclusion. That was </w:t>
      </w:r>
      <w:r w:rsidR="00C567E6" w:rsidRPr="005A62BD">
        <w:t>above</w:t>
      </w:r>
      <w:r w:rsidR="00430FFF" w:rsidRPr="005A62BD">
        <w:t xml:space="preserve"> the national average rate </w:t>
      </w:r>
      <w:r w:rsidR="00D31ED9" w:rsidRPr="005A62BD">
        <w:t xml:space="preserve">among non-disabled persons </w:t>
      </w:r>
      <w:r w:rsidR="00430FFF" w:rsidRPr="005A62BD">
        <w:t>(1</w:t>
      </w:r>
      <w:r w:rsidR="00C34FA2" w:rsidRPr="005A62BD">
        <w:t>5</w:t>
      </w:r>
      <w:r w:rsidR="00F90E2E" w:rsidRPr="005A62BD">
        <w:t>.</w:t>
      </w:r>
      <w:r w:rsidR="007330CF" w:rsidRPr="005A62BD">
        <w:t>0</w:t>
      </w:r>
      <w:r w:rsidR="00430FFF" w:rsidRPr="005A62BD">
        <w:t xml:space="preserve">% </w:t>
      </w:r>
      <w:r w:rsidR="00F90E2E" w:rsidRPr="005A62BD">
        <w:t xml:space="preserve">in </w:t>
      </w:r>
      <w:r w:rsidR="00430FFF" w:rsidRPr="005A62BD">
        <w:t xml:space="preserve">total), but </w:t>
      </w:r>
      <w:r w:rsidR="00C567E6" w:rsidRPr="005A62BD">
        <w:t>below the</w:t>
      </w:r>
      <w:r w:rsidR="00430FFF" w:rsidRPr="005A62BD">
        <w:t xml:space="preserve"> EU average</w:t>
      </w:r>
      <w:r w:rsidR="007330CF" w:rsidRPr="005A62BD">
        <w:t xml:space="preserve"> (20.8% in total)</w:t>
      </w:r>
      <w:r w:rsidR="00430FFF" w:rsidRPr="005A62BD">
        <w:t xml:space="preserve">. </w:t>
      </w:r>
      <w:r w:rsidR="001419C9" w:rsidRPr="005A62BD">
        <w:t>Moreover, a</w:t>
      </w:r>
      <w:r w:rsidR="004A08AE" w:rsidRPr="005A62BD">
        <w:t xml:space="preserve">s </w:t>
      </w:r>
      <w:r w:rsidR="00F90E2E" w:rsidRPr="005A62BD">
        <w:t xml:space="preserve">shown in </w:t>
      </w:r>
      <w:r w:rsidR="004A08AE" w:rsidRPr="005A62BD">
        <w:t>the graphs</w:t>
      </w:r>
      <w:r w:rsidR="00F90E2E" w:rsidRPr="005A62BD">
        <w:t>,</w:t>
      </w:r>
      <w:r w:rsidR="00542497" w:rsidRPr="005A62BD">
        <w:t xml:space="preserve"> </w:t>
      </w:r>
      <w:r w:rsidR="004A08AE" w:rsidRPr="005A62BD">
        <w:t xml:space="preserve">the general situation </w:t>
      </w:r>
      <w:r w:rsidR="007330CF" w:rsidRPr="005A62BD">
        <w:t xml:space="preserve">of the disabled persons in age of 16-64 in risk of household poverty or social exclusion </w:t>
      </w:r>
      <w:r w:rsidR="001419C9" w:rsidRPr="005A62BD">
        <w:t xml:space="preserve">was </w:t>
      </w:r>
      <w:r w:rsidR="007330CF" w:rsidRPr="005A62BD">
        <w:t xml:space="preserve">slightly </w:t>
      </w:r>
      <w:r w:rsidR="001419C9" w:rsidRPr="005A62BD">
        <w:t>increased</w:t>
      </w:r>
      <w:r w:rsidR="007330CF" w:rsidRPr="005A62BD">
        <w:t xml:space="preserve"> (from </w:t>
      </w:r>
      <w:r w:rsidR="001419C9" w:rsidRPr="005A62BD">
        <w:t>24.7% in 2014 to 25.5% in 2015).</w:t>
      </w:r>
      <w:r w:rsidR="005A62BD">
        <w:t xml:space="preserve"> </w:t>
      </w:r>
    </w:p>
    <w:p w14:paraId="6AD4757F" w14:textId="77777777" w:rsidR="00C9768D" w:rsidRPr="005A62BD" w:rsidRDefault="00C9768D" w:rsidP="00D73FC4">
      <w:pPr>
        <w:spacing w:after="0"/>
        <w:jc w:val="both"/>
      </w:pPr>
    </w:p>
    <w:p w14:paraId="73AC7C00" w14:textId="1CD667FC" w:rsidR="00D31ED9" w:rsidRPr="005A62BD" w:rsidRDefault="001419C9" w:rsidP="00D73FC4">
      <w:pPr>
        <w:spacing w:after="0"/>
        <w:jc w:val="both"/>
      </w:pPr>
      <w:r w:rsidRPr="005A62BD">
        <w:t>Differences in t</w:t>
      </w:r>
      <w:r w:rsidR="002E4EE6" w:rsidRPr="005A62BD">
        <w:t>he household r</w:t>
      </w:r>
      <w:r w:rsidR="00D31ED9" w:rsidRPr="005A62BD">
        <w:t xml:space="preserve">isk of poverty and social exclusion </w:t>
      </w:r>
      <w:r w:rsidRPr="005A62BD">
        <w:t>slightly increased</w:t>
      </w:r>
      <w:r w:rsidR="0008202F" w:rsidRPr="005A62BD">
        <w:t xml:space="preserve"> </w:t>
      </w:r>
      <w:r w:rsidR="00D31ED9" w:rsidRPr="005A62BD">
        <w:t>between men and women with disabilities</w:t>
      </w:r>
      <w:r w:rsidRPr="005A62BD">
        <w:t xml:space="preserve">, when by women </w:t>
      </w:r>
      <w:r w:rsidR="006657FB" w:rsidRPr="005A62BD">
        <w:t>the rate remained</w:t>
      </w:r>
      <w:r w:rsidR="00D31ED9" w:rsidRPr="005A62BD">
        <w:t xml:space="preserve"> </w:t>
      </w:r>
      <w:r w:rsidR="00484233" w:rsidRPr="005A62BD">
        <w:t xml:space="preserve">practically </w:t>
      </w:r>
      <w:r w:rsidR="006657FB" w:rsidRPr="005A62BD">
        <w:t xml:space="preserve">the same </w:t>
      </w:r>
      <w:r w:rsidR="00D31ED9" w:rsidRPr="005A62BD">
        <w:t>(2</w:t>
      </w:r>
      <w:r w:rsidR="00C9768D" w:rsidRPr="005A62BD">
        <w:t>0.</w:t>
      </w:r>
      <w:r w:rsidR="006657FB" w:rsidRPr="005A62BD">
        <w:t>2</w:t>
      </w:r>
      <w:r w:rsidR="00D31ED9" w:rsidRPr="005A62BD">
        <w:t xml:space="preserve">% </w:t>
      </w:r>
      <w:r w:rsidR="006657FB" w:rsidRPr="005A62BD">
        <w:t>in 2015 compared to 20,3% in 2014</w:t>
      </w:r>
      <w:r w:rsidR="00D31ED9" w:rsidRPr="005A62BD">
        <w:t>)</w:t>
      </w:r>
      <w:r w:rsidR="006657FB" w:rsidRPr="005A62BD">
        <w:t xml:space="preserve"> while slight</w:t>
      </w:r>
      <w:r w:rsidR="005A62BD">
        <w:t xml:space="preserve"> </w:t>
      </w:r>
      <w:r w:rsidR="006657FB" w:rsidRPr="005A62BD">
        <w:t>increas</w:t>
      </w:r>
      <w:r w:rsidR="006A6FF8" w:rsidRPr="005A62BD">
        <w:t>ing -</w:t>
      </w:r>
      <w:r w:rsidR="006657FB" w:rsidRPr="005A62BD">
        <w:t xml:space="preserve"> from 20.64% in 2014 up to 22% in 2015</w:t>
      </w:r>
      <w:r w:rsidR="006A6FF8" w:rsidRPr="005A62BD">
        <w:t xml:space="preserve"> -</w:t>
      </w:r>
      <w:r w:rsidR="00484233" w:rsidRPr="005A62BD">
        <w:t xml:space="preserve"> by men</w:t>
      </w:r>
      <w:r w:rsidR="00D31ED9" w:rsidRPr="005A62BD">
        <w:t xml:space="preserve">. </w:t>
      </w:r>
      <w:r w:rsidR="00C567E6" w:rsidRPr="005A62BD">
        <w:t>T</w:t>
      </w:r>
      <w:r w:rsidR="00D31ED9" w:rsidRPr="005A62BD">
        <w:t xml:space="preserve">he lowest rate of </w:t>
      </w:r>
      <w:r w:rsidR="002E4EE6" w:rsidRPr="005A62BD">
        <w:t xml:space="preserve">household </w:t>
      </w:r>
      <w:r w:rsidR="00D31ED9" w:rsidRPr="005A62BD">
        <w:t xml:space="preserve">poverty and social exclusion risk was observed among </w:t>
      </w:r>
      <w:r w:rsidR="006A6FF8" w:rsidRPr="005A62BD">
        <w:t xml:space="preserve">both </w:t>
      </w:r>
      <w:r w:rsidR="00D31ED9" w:rsidRPr="005A62BD">
        <w:t>non-disabled men (1</w:t>
      </w:r>
      <w:r w:rsidR="006657FB" w:rsidRPr="005A62BD">
        <w:t>4,9</w:t>
      </w:r>
      <w:r w:rsidR="00D31ED9" w:rsidRPr="005A62BD">
        <w:t>%)</w:t>
      </w:r>
      <w:r w:rsidR="006657FB" w:rsidRPr="005A62BD">
        <w:t xml:space="preserve"> and non-disabled women (15,1%)</w:t>
      </w:r>
      <w:r w:rsidR="00170C78" w:rsidRPr="005A62BD">
        <w:t xml:space="preserve"> in contradiction to rate of almost 25% of severely disabled people</w:t>
      </w:r>
      <w:r w:rsidR="00D31ED9" w:rsidRPr="005A62BD">
        <w:t>.</w:t>
      </w:r>
      <w:r w:rsidR="000E037D" w:rsidRPr="005A62BD">
        <w:t xml:space="preserve"> </w:t>
      </w:r>
      <w:r w:rsidR="00341BE6" w:rsidRPr="005A62BD">
        <w:t xml:space="preserve">While situation of non-disabled persons </w:t>
      </w:r>
      <w:r w:rsidR="002B67BD" w:rsidRPr="005A62BD">
        <w:t xml:space="preserve">in the household risk of poverty and social inclusion </w:t>
      </w:r>
      <w:r w:rsidR="002758FD" w:rsidRPr="005A62BD">
        <w:t xml:space="preserve">became </w:t>
      </w:r>
      <w:r w:rsidR="002B67BD" w:rsidRPr="005A62BD">
        <w:t xml:space="preserve">in 2015 slightly improved in comparison to 2014 (by one percentage point), situation of disabled persons </w:t>
      </w:r>
      <w:r w:rsidR="002758FD" w:rsidRPr="005A62BD">
        <w:t>became</w:t>
      </w:r>
      <w:r w:rsidR="002B67BD" w:rsidRPr="005A62BD">
        <w:t xml:space="preserve"> slightly worsened, mainly by disabled men. This </w:t>
      </w:r>
      <w:r w:rsidR="000E037D" w:rsidRPr="005A62BD">
        <w:t xml:space="preserve">may be explained </w:t>
      </w:r>
      <w:r w:rsidR="00F90E2E" w:rsidRPr="005A62BD">
        <w:t xml:space="preserve">by </w:t>
      </w:r>
      <w:r w:rsidR="00174E11" w:rsidRPr="005A62BD">
        <w:t xml:space="preserve">a rapid </w:t>
      </w:r>
      <w:r w:rsidR="002B67BD" w:rsidRPr="005A62BD">
        <w:t xml:space="preserve">economic growth in Slovakia which was more profitable </w:t>
      </w:r>
      <w:r w:rsidR="002758FD" w:rsidRPr="005A62BD">
        <w:t xml:space="preserve">rather </w:t>
      </w:r>
      <w:r w:rsidR="002B67BD" w:rsidRPr="005A62BD">
        <w:t>for non-disabled population</w:t>
      </w:r>
      <w:r w:rsidR="00174E11" w:rsidRPr="005A62BD">
        <w:t xml:space="preserve"> </w:t>
      </w:r>
      <w:r w:rsidR="002758FD" w:rsidRPr="005A62BD">
        <w:t>than for the disabled</w:t>
      </w:r>
      <w:r w:rsidR="006A6FF8" w:rsidRPr="005A62BD">
        <w:t xml:space="preserve"> in 2015</w:t>
      </w:r>
      <w:r w:rsidR="002B67BD" w:rsidRPr="005A62BD">
        <w:t xml:space="preserve">. </w:t>
      </w:r>
    </w:p>
    <w:p w14:paraId="3B1DF75F" w14:textId="77777777" w:rsidR="003C390B" w:rsidRPr="005A62BD" w:rsidRDefault="003C390B" w:rsidP="00D73FC4">
      <w:pPr>
        <w:spacing w:after="0"/>
        <w:jc w:val="both"/>
      </w:pPr>
    </w:p>
    <w:p w14:paraId="07A7DC98" w14:textId="5C6931F8" w:rsidR="00063095" w:rsidRPr="005A62BD" w:rsidRDefault="00121555" w:rsidP="00D73FC4">
      <w:pPr>
        <w:spacing w:after="0"/>
        <w:jc w:val="both"/>
      </w:pPr>
      <w:r w:rsidRPr="005A62BD">
        <w:t>Situation between 201</w:t>
      </w:r>
      <w:r w:rsidR="002758FD" w:rsidRPr="005A62BD">
        <w:t>4</w:t>
      </w:r>
      <w:r w:rsidRPr="005A62BD">
        <w:t xml:space="preserve"> and 201</w:t>
      </w:r>
      <w:r w:rsidR="002758FD" w:rsidRPr="005A62BD">
        <w:t>5</w:t>
      </w:r>
      <w:r w:rsidRPr="005A62BD">
        <w:t xml:space="preserve"> has </w:t>
      </w:r>
      <w:r w:rsidR="00990E7D" w:rsidRPr="005A62BD">
        <w:t xml:space="preserve">not </w:t>
      </w:r>
      <w:r w:rsidRPr="005A62BD">
        <w:t xml:space="preserve">changed </w:t>
      </w:r>
      <w:r w:rsidR="00990E7D" w:rsidRPr="005A62BD">
        <w:t xml:space="preserve">markedly </w:t>
      </w:r>
      <w:r w:rsidRPr="005A62BD">
        <w:t>in relation to t</w:t>
      </w:r>
      <w:r w:rsidR="00430FFF" w:rsidRPr="005A62BD">
        <w:t>he most prevalent risk factor</w:t>
      </w:r>
      <w:r w:rsidRPr="005A62BD">
        <w:t xml:space="preserve"> of</w:t>
      </w:r>
      <w:r w:rsidR="0008202F" w:rsidRPr="005A62BD">
        <w:t xml:space="preserve"> </w:t>
      </w:r>
      <w:r w:rsidR="00430FFF" w:rsidRPr="005A62BD">
        <w:t>poverty and social exclusion</w:t>
      </w:r>
      <w:r w:rsidRPr="005A62BD">
        <w:t>. In both types of households - with and without</w:t>
      </w:r>
      <w:r w:rsidR="00430FFF" w:rsidRPr="005A62BD">
        <w:t xml:space="preserve"> </w:t>
      </w:r>
      <w:r w:rsidRPr="005A62BD">
        <w:t xml:space="preserve">disabled member/s - </w:t>
      </w:r>
      <w:r w:rsidR="00430FFF" w:rsidRPr="005A62BD">
        <w:t xml:space="preserve">a low </w:t>
      </w:r>
      <w:r w:rsidRPr="005A62BD">
        <w:t xml:space="preserve">income contributed to poverty and social exclusion most intensively </w:t>
      </w:r>
      <w:r w:rsidR="00063095" w:rsidRPr="005A62BD">
        <w:t>(14.</w:t>
      </w:r>
      <w:r w:rsidR="00174E11" w:rsidRPr="005A62BD">
        <w:t>2</w:t>
      </w:r>
      <w:r w:rsidR="00063095" w:rsidRPr="005A62BD">
        <w:t>% of households with PWD and 1</w:t>
      </w:r>
      <w:r w:rsidR="00174E11" w:rsidRPr="005A62BD">
        <w:t>0</w:t>
      </w:r>
      <w:r w:rsidR="00063095" w:rsidRPr="005A62BD">
        <w:t xml:space="preserve">.8% those without). Impact of a low </w:t>
      </w:r>
      <w:r w:rsidR="00430FFF" w:rsidRPr="005A62BD">
        <w:t>work intensity of household</w:t>
      </w:r>
      <w:r w:rsidR="00C567E6" w:rsidRPr="005A62BD">
        <w:t>s</w:t>
      </w:r>
      <w:r w:rsidR="00430FFF" w:rsidRPr="005A62BD">
        <w:t xml:space="preserve"> </w:t>
      </w:r>
      <w:r w:rsidR="00174E11" w:rsidRPr="005A62BD">
        <w:t>remained comparable to situation in 2014 (13,2% in 2015 in comparison to</w:t>
      </w:r>
      <w:r w:rsidR="00063095" w:rsidRPr="005A62BD">
        <w:t xml:space="preserve"> 13.8% </w:t>
      </w:r>
      <w:r w:rsidR="00174E11" w:rsidRPr="005A62BD">
        <w:t xml:space="preserve">in 2014 </w:t>
      </w:r>
      <w:r w:rsidR="00063095" w:rsidRPr="005A62BD">
        <w:t>by PWD households</w:t>
      </w:r>
      <w:r w:rsidR="00174E11" w:rsidRPr="005A62BD">
        <w:t>; and</w:t>
      </w:r>
      <w:r w:rsidR="005A62BD">
        <w:t xml:space="preserve"> </w:t>
      </w:r>
      <w:r w:rsidR="00063095" w:rsidRPr="005A62BD">
        <w:t>5.</w:t>
      </w:r>
      <w:r w:rsidR="003A66A9" w:rsidRPr="005A62BD">
        <w:t>2</w:t>
      </w:r>
      <w:r w:rsidR="00063095" w:rsidRPr="005A62BD">
        <w:t xml:space="preserve">% </w:t>
      </w:r>
      <w:r w:rsidR="003A66A9" w:rsidRPr="005A62BD">
        <w:t xml:space="preserve">in 2014 in comparison to 5,1% in 2014 </w:t>
      </w:r>
      <w:r w:rsidR="00063095" w:rsidRPr="005A62BD">
        <w:t>by household</w:t>
      </w:r>
      <w:r w:rsidR="00C429EB" w:rsidRPr="005A62BD">
        <w:t>s</w:t>
      </w:r>
      <w:r w:rsidR="00063095" w:rsidRPr="005A62BD">
        <w:t xml:space="preserve"> without PWD).</w:t>
      </w:r>
      <w:r w:rsidR="003F4E08" w:rsidRPr="005A62BD">
        <w:t xml:space="preserve"> </w:t>
      </w:r>
      <w:r w:rsidR="00063095" w:rsidRPr="005A62BD">
        <w:t xml:space="preserve">We can suppose a positive impact of generally </w:t>
      </w:r>
      <w:r w:rsidR="00F00CBD" w:rsidRPr="005A62BD">
        <w:t>increased employment rate in Slovakia from 65.9% in 2014</w:t>
      </w:r>
      <w:r w:rsidR="003A66A9" w:rsidRPr="005A62BD">
        <w:t xml:space="preserve"> to 67.7% in 2015</w:t>
      </w:r>
      <w:r w:rsidR="00FB63EE" w:rsidRPr="005A62BD">
        <w:t>.</w:t>
      </w:r>
      <w:r w:rsidR="002B67C9" w:rsidRPr="005A62BD">
        <w:rPr>
          <w:rStyle w:val="FootnoteReference"/>
        </w:rPr>
        <w:footnoteReference w:id="19"/>
      </w:r>
    </w:p>
    <w:p w14:paraId="4DC667F8" w14:textId="77777777" w:rsidR="00063095" w:rsidRPr="005A62BD" w:rsidRDefault="00063095" w:rsidP="00D73FC4">
      <w:pPr>
        <w:spacing w:after="0"/>
        <w:jc w:val="both"/>
      </w:pPr>
    </w:p>
    <w:p w14:paraId="428E114B" w14:textId="405734E6" w:rsidR="003C390B" w:rsidRPr="005A62BD" w:rsidRDefault="00BB4254" w:rsidP="00D73FC4">
      <w:pPr>
        <w:spacing w:after="0"/>
        <w:jc w:val="both"/>
      </w:pPr>
      <w:r w:rsidRPr="005A62BD">
        <w:t>Comparably to the general population</w:t>
      </w:r>
      <w:r w:rsidR="00C567E6" w:rsidRPr="005A62BD">
        <w:t>,</w:t>
      </w:r>
      <w:r w:rsidRPr="005A62BD">
        <w:t xml:space="preserve"> the overall risk of household poverty or social exclusion </w:t>
      </w:r>
      <w:r w:rsidR="000741AD" w:rsidRPr="005A62BD">
        <w:t>remained</w:t>
      </w:r>
      <w:r w:rsidR="003F4E08" w:rsidRPr="005A62BD">
        <w:t xml:space="preserve"> </w:t>
      </w:r>
      <w:r w:rsidRPr="005A62BD">
        <w:t>higher among PWD in working age (2</w:t>
      </w:r>
      <w:r w:rsidR="003A66A9" w:rsidRPr="005A62BD">
        <w:t>5</w:t>
      </w:r>
      <w:r w:rsidR="002B67C9" w:rsidRPr="005A62BD">
        <w:t>.</w:t>
      </w:r>
      <w:r w:rsidR="003A66A9" w:rsidRPr="005A62BD">
        <w:t>5</w:t>
      </w:r>
      <w:r w:rsidRPr="005A62BD">
        <w:t>%) in comparison to the older PWD population (1</w:t>
      </w:r>
      <w:r w:rsidR="002B67C9" w:rsidRPr="005A62BD">
        <w:t>4.</w:t>
      </w:r>
      <w:r w:rsidR="003A66A9" w:rsidRPr="005A62BD">
        <w:t>2</w:t>
      </w:r>
      <w:r w:rsidRPr="005A62BD">
        <w:t xml:space="preserve">%). </w:t>
      </w:r>
      <w:r w:rsidR="00484233" w:rsidRPr="005A62BD">
        <w:t>The latter group</w:t>
      </w:r>
      <w:r w:rsidR="005A62BD">
        <w:t xml:space="preserve"> </w:t>
      </w:r>
      <w:r w:rsidR="00484233" w:rsidRPr="005A62BD">
        <w:t xml:space="preserve">was only one out of all compared groups with increased </w:t>
      </w:r>
      <w:r w:rsidR="00DF1E24" w:rsidRPr="005A62BD">
        <w:t xml:space="preserve">risk of household poverty and social exclusion </w:t>
      </w:r>
      <w:r w:rsidR="00484233" w:rsidRPr="005A62BD">
        <w:t>between 2014 and 2015 (from 24.7% to 25.5%)</w:t>
      </w:r>
      <w:r w:rsidR="00DF1E24" w:rsidRPr="005A62BD">
        <w:t>.</w:t>
      </w:r>
      <w:r w:rsidR="00990E7D" w:rsidRPr="005A62BD">
        <w:t xml:space="preserve"> </w:t>
      </w:r>
      <w:r w:rsidR="00EA6E02" w:rsidRPr="005A62BD">
        <w:t xml:space="preserve">On the other hand, differences between years 2014-2015 are </w:t>
      </w:r>
      <w:r w:rsidR="006A6FF8" w:rsidRPr="005A62BD">
        <w:t xml:space="preserve">not very </w:t>
      </w:r>
      <w:r w:rsidR="00EA6E02" w:rsidRPr="005A62BD">
        <w:t xml:space="preserve">significant and there </w:t>
      </w:r>
      <w:r w:rsidR="003B54BB">
        <w:t xml:space="preserve">is </w:t>
      </w:r>
      <w:r w:rsidR="00EA6E02" w:rsidRPr="005A62BD">
        <w:t>no detailed analysis to explain them seriously</w:t>
      </w:r>
      <w:r w:rsidR="006A6FF8" w:rsidRPr="005A62BD">
        <w:t xml:space="preserve">, mainly, if they are not </w:t>
      </w:r>
      <w:proofErr w:type="gramStart"/>
      <w:r w:rsidR="006A6FF8" w:rsidRPr="005A62BD">
        <w:t>changes</w:t>
      </w:r>
      <w:proofErr w:type="gramEnd"/>
      <w:r w:rsidR="006A6FF8" w:rsidRPr="005A62BD">
        <w:t xml:space="preserve"> which would be a trend.</w:t>
      </w:r>
      <w:r w:rsidR="00EA6E02" w:rsidRPr="005A62BD">
        <w:t xml:space="preserve"> </w:t>
      </w:r>
    </w:p>
    <w:p w14:paraId="5F3A3134" w14:textId="77777777" w:rsidR="0010423F" w:rsidRPr="005A62BD" w:rsidRDefault="0010423F" w:rsidP="00D73FC4">
      <w:pPr>
        <w:spacing w:after="0"/>
        <w:jc w:val="both"/>
      </w:pPr>
    </w:p>
    <w:p w14:paraId="567E7241" w14:textId="77777777" w:rsidR="0010423F" w:rsidRPr="005A62BD" w:rsidRDefault="0010423F" w:rsidP="005A62BD">
      <w:pPr>
        <w:pStyle w:val="Heading1"/>
        <w:rPr>
          <w:lang w:eastAsia="en-GB"/>
        </w:rPr>
      </w:pPr>
      <w:bookmarkStart w:id="20" w:name="_Toc499120881"/>
      <w:r w:rsidRPr="005A62BD">
        <w:rPr>
          <w:lang w:eastAsia="en-GB"/>
        </w:rPr>
        <w:lastRenderedPageBreak/>
        <w:t>Assessment of policies in place to meet the relevant headline targets</w:t>
      </w:r>
      <w:bookmarkEnd w:id="20"/>
    </w:p>
    <w:p w14:paraId="4BF203B3" w14:textId="77777777" w:rsidR="00FB63EE" w:rsidRPr="005A62BD" w:rsidRDefault="00FB63EE" w:rsidP="00D73FC4">
      <w:pPr>
        <w:spacing w:after="0"/>
        <w:jc w:val="both"/>
      </w:pPr>
    </w:p>
    <w:p w14:paraId="1E84CCEF" w14:textId="77777777" w:rsidR="005144FC" w:rsidRPr="005A62BD" w:rsidRDefault="005144FC" w:rsidP="00D73FC4">
      <w:pPr>
        <w:spacing w:after="0"/>
        <w:jc w:val="both"/>
      </w:pPr>
      <w:r w:rsidRPr="005A62BD">
        <w:t>In the following section, we refer to four significant documents from 2016 which have strong impact on policies in each target area (employment, education, and poverty or social inclusion) from a disability perspective, namely:</w:t>
      </w:r>
    </w:p>
    <w:p w14:paraId="67B6BDAB" w14:textId="77777777" w:rsidR="00FB63EE" w:rsidRPr="005A62BD" w:rsidRDefault="00FB63EE" w:rsidP="00D73FC4">
      <w:pPr>
        <w:spacing w:after="0"/>
        <w:jc w:val="both"/>
      </w:pPr>
    </w:p>
    <w:p w14:paraId="689748F2" w14:textId="7B5D5B20" w:rsidR="005144FC" w:rsidRPr="005A62BD" w:rsidRDefault="005144FC" w:rsidP="00D73FC4">
      <w:pPr>
        <w:pStyle w:val="ListParagraph"/>
        <w:numPr>
          <w:ilvl w:val="0"/>
          <w:numId w:val="19"/>
        </w:numPr>
        <w:spacing w:after="0"/>
        <w:ind w:left="567" w:hanging="567"/>
        <w:jc w:val="both"/>
      </w:pPr>
      <w:r w:rsidRPr="005A62BD">
        <w:t xml:space="preserve">The </w:t>
      </w:r>
      <w:r w:rsidRPr="005A62BD">
        <w:rPr>
          <w:i/>
        </w:rPr>
        <w:t>National Reform Program of the Slovak Republic 201</w:t>
      </w:r>
      <w:r w:rsidR="000A2074" w:rsidRPr="005A62BD">
        <w:rPr>
          <w:i/>
        </w:rPr>
        <w:t>7</w:t>
      </w:r>
      <w:r w:rsidRPr="005A62BD">
        <w:t xml:space="preserve"> (</w:t>
      </w:r>
      <w:proofErr w:type="spellStart"/>
      <w:r w:rsidRPr="005A62BD">
        <w:t>Národný</w:t>
      </w:r>
      <w:proofErr w:type="spellEnd"/>
      <w:r w:rsidRPr="005A62BD">
        <w:t xml:space="preserve"> program </w:t>
      </w:r>
      <w:proofErr w:type="spellStart"/>
      <w:r w:rsidRPr="005A62BD">
        <w:t>reforiem</w:t>
      </w:r>
      <w:proofErr w:type="spellEnd"/>
      <w:r w:rsidRPr="005A62BD">
        <w:t xml:space="preserve"> </w:t>
      </w:r>
      <w:proofErr w:type="spellStart"/>
      <w:r w:rsidRPr="005A62BD">
        <w:t>Slovenskej</w:t>
      </w:r>
      <w:proofErr w:type="spellEnd"/>
      <w:r w:rsidRPr="005A62BD">
        <w:t xml:space="preserve"> </w:t>
      </w:r>
      <w:proofErr w:type="spellStart"/>
      <w:r w:rsidRPr="005A62BD">
        <w:t>republiky</w:t>
      </w:r>
      <w:proofErr w:type="spellEnd"/>
      <w:r w:rsidRPr="005A62BD">
        <w:t xml:space="preserve"> 201</w:t>
      </w:r>
      <w:r w:rsidR="000A2074" w:rsidRPr="005A62BD">
        <w:t>7</w:t>
      </w:r>
      <w:r w:rsidRPr="005A62BD">
        <w:t>; hereinafter only “NR</w:t>
      </w:r>
      <w:r w:rsidR="00FB63EE" w:rsidRPr="005A62BD">
        <w:t>P 201</w:t>
      </w:r>
      <w:r w:rsidR="00A64533" w:rsidRPr="005A62BD">
        <w:t>7</w:t>
      </w:r>
      <w:r w:rsidR="00FB63EE" w:rsidRPr="005A62BD">
        <w:t>”) approved in April 201</w:t>
      </w:r>
      <w:r w:rsidR="00A64533" w:rsidRPr="005A62BD">
        <w:t>7</w:t>
      </w:r>
      <w:r w:rsidR="00DF1DEF" w:rsidRPr="005A62BD">
        <w:t>, and its accompanying Action Plan</w:t>
      </w:r>
      <w:r w:rsidR="00FB63EE" w:rsidRPr="005A62BD">
        <w:t>;</w:t>
      </w:r>
    </w:p>
    <w:p w14:paraId="0ED66779" w14:textId="77777777" w:rsidR="005144FC" w:rsidRPr="005A62BD" w:rsidRDefault="005144FC" w:rsidP="00D73FC4">
      <w:pPr>
        <w:pStyle w:val="ListParagraph"/>
        <w:numPr>
          <w:ilvl w:val="0"/>
          <w:numId w:val="19"/>
        </w:numPr>
        <w:spacing w:after="0"/>
        <w:ind w:left="567" w:hanging="567"/>
        <w:jc w:val="both"/>
      </w:pPr>
      <w:r w:rsidRPr="005A62BD">
        <w:t xml:space="preserve">The </w:t>
      </w:r>
      <w:r w:rsidRPr="005A62BD">
        <w:rPr>
          <w:i/>
        </w:rPr>
        <w:t>Manifesto of the Government of the Slovak Republic for years 2016-2020</w:t>
      </w:r>
      <w:r w:rsidRPr="005A62BD">
        <w:t xml:space="preserve"> (</w:t>
      </w:r>
      <w:proofErr w:type="spellStart"/>
      <w:r w:rsidRPr="005A62BD">
        <w:t>Programové</w:t>
      </w:r>
      <w:proofErr w:type="spellEnd"/>
      <w:r w:rsidRPr="005A62BD">
        <w:t xml:space="preserve"> </w:t>
      </w:r>
      <w:proofErr w:type="spellStart"/>
      <w:r w:rsidRPr="005A62BD">
        <w:t>vyhlásenie</w:t>
      </w:r>
      <w:proofErr w:type="spellEnd"/>
      <w:r w:rsidRPr="005A62BD">
        <w:t xml:space="preserve"> </w:t>
      </w:r>
      <w:proofErr w:type="spellStart"/>
      <w:r w:rsidRPr="005A62BD">
        <w:t>vlády</w:t>
      </w:r>
      <w:proofErr w:type="spellEnd"/>
      <w:r w:rsidRPr="005A62BD">
        <w:t xml:space="preserve"> SR </w:t>
      </w:r>
      <w:proofErr w:type="spellStart"/>
      <w:r w:rsidRPr="005A62BD">
        <w:t>na</w:t>
      </w:r>
      <w:proofErr w:type="spellEnd"/>
      <w:r w:rsidRPr="005A62BD">
        <w:t xml:space="preserve"> </w:t>
      </w:r>
      <w:proofErr w:type="spellStart"/>
      <w:r w:rsidRPr="005A62BD">
        <w:t>roky</w:t>
      </w:r>
      <w:proofErr w:type="spellEnd"/>
      <w:r w:rsidRPr="005A62BD">
        <w:t xml:space="preserve"> 2016-2020; hereinafter only “The MG”</w:t>
      </w:r>
      <w:r w:rsidR="00FB63EE" w:rsidRPr="005A62BD">
        <w:t>)</w:t>
      </w:r>
      <w:r w:rsidRPr="005A62BD">
        <w:rPr>
          <w:rStyle w:val="FootnoteReference"/>
        </w:rPr>
        <w:footnoteReference w:id="20"/>
      </w:r>
      <w:r w:rsidR="00FB63EE" w:rsidRPr="005A62BD">
        <w:t xml:space="preserve"> approved on 26 April 2016;</w:t>
      </w:r>
    </w:p>
    <w:p w14:paraId="524C5496" w14:textId="77777777" w:rsidR="005144FC" w:rsidRPr="005A62BD" w:rsidRDefault="005144FC" w:rsidP="00D73FC4">
      <w:pPr>
        <w:pStyle w:val="ListParagraph"/>
        <w:numPr>
          <w:ilvl w:val="0"/>
          <w:numId w:val="19"/>
        </w:numPr>
        <w:spacing w:after="0"/>
        <w:ind w:left="567" w:hanging="567"/>
        <w:jc w:val="both"/>
      </w:pPr>
      <w:r w:rsidRPr="005A62BD">
        <w:rPr>
          <w:i/>
        </w:rPr>
        <w:t>Concluding observations on the initial report of Slovakia</w:t>
      </w:r>
      <w:r w:rsidRPr="005A62BD">
        <w:t xml:space="preserve"> adopted by the Committee on the Rights of Persons with Disabilities at its fifteenth session (29 March - 21 April 2016) (hereinafter only “Concluding observations”</w:t>
      </w:r>
      <w:r w:rsidR="00FB63EE" w:rsidRPr="005A62BD">
        <w:t>);</w:t>
      </w:r>
      <w:r w:rsidRPr="005A62BD">
        <w:rPr>
          <w:rStyle w:val="FootnoteReference"/>
        </w:rPr>
        <w:footnoteReference w:id="21"/>
      </w:r>
    </w:p>
    <w:p w14:paraId="5555F135" w14:textId="77777777" w:rsidR="005144FC" w:rsidRPr="005A62BD" w:rsidRDefault="005144FC" w:rsidP="00D73FC4">
      <w:pPr>
        <w:pStyle w:val="ListParagraph"/>
        <w:numPr>
          <w:ilvl w:val="0"/>
          <w:numId w:val="19"/>
        </w:numPr>
        <w:spacing w:after="0"/>
        <w:ind w:left="567" w:hanging="567"/>
        <w:jc w:val="both"/>
        <w:rPr>
          <w:i/>
        </w:rPr>
      </w:pPr>
      <w:bookmarkStart w:id="21" w:name="OLE_LINK7"/>
      <w:bookmarkStart w:id="22" w:name="OLE_LINK8"/>
      <w:r w:rsidRPr="005A62BD">
        <w:t xml:space="preserve">The </w:t>
      </w:r>
      <w:r w:rsidRPr="005A62BD">
        <w:rPr>
          <w:i/>
        </w:rPr>
        <w:t>Report on fulfilment of provisions related to the National disability program 2014-2020</w:t>
      </w:r>
      <w:r w:rsidRPr="005A62BD">
        <w:rPr>
          <w:rStyle w:val="FootnoteReference"/>
          <w:i/>
        </w:rPr>
        <w:footnoteReference w:id="22"/>
      </w:r>
      <w:r w:rsidRPr="005A62BD">
        <w:rPr>
          <w:i/>
        </w:rPr>
        <w:t xml:space="preserve"> for the period 2014-2015 and a draft of its actualisation </w:t>
      </w:r>
      <w:bookmarkEnd w:id="21"/>
      <w:bookmarkEnd w:id="22"/>
      <w:r w:rsidRPr="005A62BD">
        <w:t>(</w:t>
      </w:r>
      <w:proofErr w:type="spellStart"/>
      <w:r w:rsidRPr="005A62BD">
        <w:t>Správa</w:t>
      </w:r>
      <w:proofErr w:type="spellEnd"/>
      <w:r w:rsidRPr="005A62BD">
        <w:t xml:space="preserve"> o </w:t>
      </w:r>
      <w:proofErr w:type="spellStart"/>
      <w:r w:rsidRPr="005A62BD">
        <w:t>plnení</w:t>
      </w:r>
      <w:proofErr w:type="spellEnd"/>
      <w:r w:rsidRPr="005A62BD">
        <w:t xml:space="preserve"> </w:t>
      </w:r>
      <w:proofErr w:type="spellStart"/>
      <w:r w:rsidRPr="005A62BD">
        <w:t>opatrení</w:t>
      </w:r>
      <w:proofErr w:type="spellEnd"/>
      <w:r w:rsidRPr="005A62BD">
        <w:t xml:space="preserve"> </w:t>
      </w:r>
      <w:proofErr w:type="spellStart"/>
      <w:r w:rsidRPr="005A62BD">
        <w:t>vyplývajúcich</w:t>
      </w:r>
      <w:proofErr w:type="spellEnd"/>
      <w:r w:rsidRPr="005A62BD">
        <w:t xml:space="preserve"> z </w:t>
      </w:r>
      <w:proofErr w:type="spellStart"/>
      <w:r w:rsidRPr="005A62BD">
        <w:t>Národného</w:t>
      </w:r>
      <w:proofErr w:type="spellEnd"/>
      <w:r w:rsidRPr="005A62BD">
        <w:t xml:space="preserve"> </w:t>
      </w:r>
      <w:proofErr w:type="spellStart"/>
      <w:r w:rsidRPr="005A62BD">
        <w:t>programu</w:t>
      </w:r>
      <w:proofErr w:type="spellEnd"/>
      <w:r w:rsidRPr="005A62BD">
        <w:t xml:space="preserve"> </w:t>
      </w:r>
      <w:proofErr w:type="spellStart"/>
      <w:r w:rsidRPr="005A62BD">
        <w:t>rozvoja</w:t>
      </w:r>
      <w:proofErr w:type="spellEnd"/>
      <w:r w:rsidRPr="005A62BD">
        <w:t xml:space="preserve"> </w:t>
      </w:r>
      <w:proofErr w:type="spellStart"/>
      <w:r w:rsidRPr="005A62BD">
        <w:t>životných</w:t>
      </w:r>
      <w:proofErr w:type="spellEnd"/>
      <w:r w:rsidRPr="005A62BD">
        <w:t xml:space="preserve"> </w:t>
      </w:r>
      <w:proofErr w:type="spellStart"/>
      <w:r w:rsidRPr="005A62BD">
        <w:t>podmienok</w:t>
      </w:r>
      <w:proofErr w:type="spellEnd"/>
      <w:r w:rsidRPr="005A62BD">
        <w:t xml:space="preserve"> </w:t>
      </w:r>
      <w:proofErr w:type="spellStart"/>
      <w:r w:rsidRPr="005A62BD">
        <w:t>osôb</w:t>
      </w:r>
      <w:proofErr w:type="spellEnd"/>
      <w:r w:rsidRPr="005A62BD">
        <w:t xml:space="preserve"> so </w:t>
      </w:r>
      <w:proofErr w:type="spellStart"/>
      <w:r w:rsidRPr="005A62BD">
        <w:t>zdravotným</w:t>
      </w:r>
      <w:proofErr w:type="spellEnd"/>
      <w:r w:rsidRPr="005A62BD">
        <w:t xml:space="preserve"> </w:t>
      </w:r>
      <w:proofErr w:type="spellStart"/>
      <w:r w:rsidRPr="005A62BD">
        <w:t>postihnutím</w:t>
      </w:r>
      <w:proofErr w:type="spellEnd"/>
      <w:r w:rsidRPr="005A62BD">
        <w:t xml:space="preserve"> </w:t>
      </w:r>
      <w:proofErr w:type="spellStart"/>
      <w:r w:rsidRPr="005A62BD">
        <w:t>na</w:t>
      </w:r>
      <w:proofErr w:type="spellEnd"/>
      <w:r w:rsidRPr="005A62BD">
        <w:t xml:space="preserve"> </w:t>
      </w:r>
      <w:proofErr w:type="spellStart"/>
      <w:r w:rsidRPr="005A62BD">
        <w:t>roky</w:t>
      </w:r>
      <w:proofErr w:type="spellEnd"/>
      <w:r w:rsidRPr="005A62BD">
        <w:t xml:space="preserve"> 2014-2020 za </w:t>
      </w:r>
      <w:proofErr w:type="spellStart"/>
      <w:r w:rsidRPr="005A62BD">
        <w:t>roky</w:t>
      </w:r>
      <w:proofErr w:type="spellEnd"/>
      <w:r w:rsidRPr="005A62BD">
        <w:t xml:space="preserve"> 2014-2015 a </w:t>
      </w:r>
      <w:proofErr w:type="spellStart"/>
      <w:r w:rsidRPr="005A62BD">
        <w:t>návrh</w:t>
      </w:r>
      <w:proofErr w:type="spellEnd"/>
      <w:r w:rsidRPr="005A62BD">
        <w:t xml:space="preserve"> </w:t>
      </w:r>
      <w:proofErr w:type="spellStart"/>
      <w:r w:rsidRPr="005A62BD">
        <w:t>na</w:t>
      </w:r>
      <w:proofErr w:type="spellEnd"/>
      <w:r w:rsidRPr="005A62BD">
        <w:t xml:space="preserve"> </w:t>
      </w:r>
      <w:proofErr w:type="spellStart"/>
      <w:r w:rsidRPr="005A62BD">
        <w:t>jeho</w:t>
      </w:r>
      <w:proofErr w:type="spellEnd"/>
      <w:r w:rsidRPr="005A62BD">
        <w:t xml:space="preserve"> </w:t>
      </w:r>
      <w:proofErr w:type="spellStart"/>
      <w:r w:rsidRPr="005A62BD">
        <w:t>aktualizáciu</w:t>
      </w:r>
      <w:proofErr w:type="spellEnd"/>
      <w:r w:rsidRPr="005A62BD">
        <w:t>; hereinafter only “RNDP”</w:t>
      </w:r>
      <w:r w:rsidR="00FB63EE" w:rsidRPr="005A62BD">
        <w:t>).</w:t>
      </w:r>
      <w:r w:rsidRPr="005A62BD">
        <w:rPr>
          <w:rStyle w:val="FootnoteReference"/>
        </w:rPr>
        <w:footnoteReference w:id="23"/>
      </w:r>
    </w:p>
    <w:p w14:paraId="5D135B9D" w14:textId="77777777" w:rsidR="00FB63EE" w:rsidRPr="005A62BD" w:rsidRDefault="00FB63EE" w:rsidP="00D73FC4">
      <w:pPr>
        <w:spacing w:after="0"/>
        <w:jc w:val="both"/>
        <w:rPr>
          <w:i/>
        </w:rPr>
      </w:pPr>
    </w:p>
    <w:p w14:paraId="4AAE7C50" w14:textId="77777777" w:rsidR="0010423F" w:rsidRPr="005A62BD" w:rsidRDefault="0010423F" w:rsidP="00D73FC4">
      <w:pPr>
        <w:pStyle w:val="Heading2"/>
      </w:pPr>
      <w:bookmarkStart w:id="23" w:name="_Toc499120882"/>
      <w:r w:rsidRPr="005A62BD">
        <w:t>Employment</w:t>
      </w:r>
      <w:bookmarkEnd w:id="23"/>
    </w:p>
    <w:p w14:paraId="22E3E095" w14:textId="77777777" w:rsidR="003C390B" w:rsidRDefault="003C390B" w:rsidP="00D73FC4">
      <w:pPr>
        <w:spacing w:after="0"/>
        <w:jc w:val="both"/>
      </w:pPr>
    </w:p>
    <w:p w14:paraId="227EBD7A" w14:textId="6C952AFA" w:rsidR="004321ED" w:rsidRDefault="008F2D65" w:rsidP="00D73FC4">
      <w:pPr>
        <w:spacing w:after="0"/>
        <w:jc w:val="both"/>
      </w:pPr>
      <w:r>
        <w:t xml:space="preserve">In this section, </w:t>
      </w:r>
      <w:r w:rsidR="00AD463C">
        <w:t xml:space="preserve">four </w:t>
      </w:r>
      <w:r w:rsidR="004321ED">
        <w:t xml:space="preserve">developments will be discussed, which are relevant in the context of Europa 2020 employment rate target for Slovakia. These are: </w:t>
      </w:r>
    </w:p>
    <w:p w14:paraId="319EA757" w14:textId="77777777" w:rsidR="003B54BB" w:rsidRDefault="003B54BB" w:rsidP="00D73FC4">
      <w:pPr>
        <w:spacing w:after="0"/>
        <w:jc w:val="both"/>
      </w:pPr>
    </w:p>
    <w:p w14:paraId="796E32CD" w14:textId="0A3AD0A7" w:rsidR="004321ED" w:rsidRDefault="004321ED" w:rsidP="003B54BB">
      <w:pPr>
        <w:pStyle w:val="ListParagraph"/>
        <w:numPr>
          <w:ilvl w:val="0"/>
          <w:numId w:val="32"/>
        </w:numPr>
        <w:spacing w:after="0"/>
        <w:ind w:left="567" w:hanging="567"/>
        <w:jc w:val="both"/>
      </w:pPr>
      <w:r>
        <w:t xml:space="preserve">preparation of the </w:t>
      </w:r>
      <w:r w:rsidR="002C35F4">
        <w:t>A</w:t>
      </w:r>
      <w:r>
        <w:t xml:space="preserve">ction plan on the transition </w:t>
      </w:r>
      <w:r w:rsidR="002C35F4">
        <w:t xml:space="preserve">of PWD </w:t>
      </w:r>
      <w:r>
        <w:t xml:space="preserve">from sheltered workshops into the open labour market on grounds of the recommendation of the UN Committee, </w:t>
      </w:r>
    </w:p>
    <w:p w14:paraId="0603CE37" w14:textId="4A7C3318" w:rsidR="004321ED" w:rsidRDefault="003B54BB" w:rsidP="003B54BB">
      <w:pPr>
        <w:pStyle w:val="ListParagraph"/>
        <w:numPr>
          <w:ilvl w:val="0"/>
          <w:numId w:val="32"/>
        </w:numPr>
        <w:spacing w:after="0"/>
        <w:ind w:left="567" w:hanging="567"/>
        <w:jc w:val="both"/>
      </w:pPr>
      <w:r>
        <w:t>s</w:t>
      </w:r>
      <w:r w:rsidR="002B64BF">
        <w:t>tatement of the NRP on the inappropriate structure of the ALMPs</w:t>
      </w:r>
      <w:r>
        <w:t>;</w:t>
      </w:r>
      <w:r w:rsidR="002B64BF">
        <w:t xml:space="preserve"> </w:t>
      </w:r>
    </w:p>
    <w:p w14:paraId="4B495D8C" w14:textId="1B5812F1" w:rsidR="00AD463C" w:rsidRDefault="003B54BB" w:rsidP="003B54BB">
      <w:pPr>
        <w:pStyle w:val="ListParagraph"/>
        <w:numPr>
          <w:ilvl w:val="0"/>
          <w:numId w:val="32"/>
        </w:numPr>
        <w:spacing w:after="0"/>
        <w:ind w:left="567" w:hanging="567"/>
        <w:jc w:val="both"/>
      </w:pPr>
      <w:r>
        <w:t>s</w:t>
      </w:r>
      <w:r w:rsidR="002B64BF">
        <w:t>tabilisation of the expenditures to support employment of PWD after a period of sharp decrease</w:t>
      </w:r>
      <w:r>
        <w:t>;</w:t>
      </w:r>
    </w:p>
    <w:p w14:paraId="41400A2B" w14:textId="68FBDC09" w:rsidR="002B64BF" w:rsidRDefault="00AD463C" w:rsidP="003B54BB">
      <w:pPr>
        <w:pStyle w:val="ListParagraph"/>
        <w:numPr>
          <w:ilvl w:val="0"/>
          <w:numId w:val="32"/>
        </w:numPr>
        <w:spacing w:after="0"/>
        <w:ind w:left="567" w:hanging="567"/>
        <w:jc w:val="both"/>
      </w:pPr>
      <w:r>
        <w:t>still persistent lack of evaluation studies to assess the</w:t>
      </w:r>
      <w:r w:rsidR="00E526CE">
        <w:t xml:space="preserve"> effectiveness and efficiency of disability specific ALMPs</w:t>
      </w:r>
      <w:r w:rsidR="00C930AE">
        <w:t>, and the assessment of these ALMPs in the context of the NRP and the UNCRPD</w:t>
      </w:r>
      <w:r w:rsidR="002B64BF">
        <w:t xml:space="preserve">. </w:t>
      </w:r>
    </w:p>
    <w:p w14:paraId="4ED51AAF" w14:textId="77777777" w:rsidR="002B64BF" w:rsidRDefault="002B64BF" w:rsidP="00D73FC4">
      <w:pPr>
        <w:spacing w:after="0"/>
        <w:jc w:val="both"/>
      </w:pPr>
    </w:p>
    <w:p w14:paraId="182FB440" w14:textId="646204C9" w:rsidR="00C578AE" w:rsidRPr="001310AB" w:rsidRDefault="002B64BF" w:rsidP="00D73FC4">
      <w:pPr>
        <w:spacing w:after="0"/>
        <w:jc w:val="both"/>
        <w:rPr>
          <w:b/>
          <w:bCs/>
          <w:i/>
          <w:iCs/>
        </w:rPr>
      </w:pPr>
      <w:r w:rsidRPr="001310AB">
        <w:rPr>
          <w:b/>
          <w:bCs/>
          <w:i/>
          <w:iCs/>
        </w:rPr>
        <w:t xml:space="preserve">Ad A: </w:t>
      </w:r>
      <w:r w:rsidR="001310AB" w:rsidRPr="001310AB">
        <w:rPr>
          <w:b/>
          <w:bCs/>
          <w:i/>
          <w:iCs/>
        </w:rPr>
        <w:t xml:space="preserve">preparation of the </w:t>
      </w:r>
      <w:r w:rsidR="001310AB">
        <w:rPr>
          <w:b/>
          <w:bCs/>
          <w:i/>
          <w:iCs/>
        </w:rPr>
        <w:t>a</w:t>
      </w:r>
      <w:r w:rsidR="001310AB" w:rsidRPr="001310AB">
        <w:rPr>
          <w:b/>
          <w:bCs/>
          <w:i/>
          <w:iCs/>
        </w:rPr>
        <w:t xml:space="preserve">ction plan on transition from sheltered workshops </w:t>
      </w:r>
    </w:p>
    <w:p w14:paraId="227BBE3B" w14:textId="77777777" w:rsidR="003B54BB" w:rsidRDefault="003B54BB" w:rsidP="00D73FC4">
      <w:pPr>
        <w:spacing w:after="0"/>
        <w:jc w:val="both"/>
      </w:pPr>
    </w:p>
    <w:p w14:paraId="4FFCD8D2" w14:textId="563DF8B9" w:rsidR="00413A84" w:rsidRPr="005A62BD" w:rsidRDefault="00870A26" w:rsidP="00D73FC4">
      <w:pPr>
        <w:spacing w:after="0"/>
        <w:jc w:val="both"/>
      </w:pPr>
      <w:r>
        <w:t>T</w:t>
      </w:r>
      <w:r w:rsidR="00413A84">
        <w:t xml:space="preserve">he most significant policy </w:t>
      </w:r>
      <w:r w:rsidR="0077457E">
        <w:t xml:space="preserve">development </w:t>
      </w:r>
      <w:r w:rsidR="00413A84">
        <w:t xml:space="preserve">in Slovakia in 2016-2017 with regards to support of employment of </w:t>
      </w:r>
      <w:r w:rsidR="002C35F4">
        <w:t>PWD</w:t>
      </w:r>
      <w:r w:rsidR="00413A84">
        <w:t xml:space="preserve"> has been the initiative </w:t>
      </w:r>
      <w:r w:rsidR="00C5326A">
        <w:t xml:space="preserve">of the </w:t>
      </w:r>
      <w:proofErr w:type="spellStart"/>
      <w:r w:rsidR="00C5326A">
        <w:t>MOLSaF</w:t>
      </w:r>
      <w:proofErr w:type="spellEnd"/>
      <w:r w:rsidR="00C5326A">
        <w:t xml:space="preserve"> </w:t>
      </w:r>
      <w:r w:rsidR="00413A84">
        <w:t xml:space="preserve">to adopt the </w:t>
      </w:r>
      <w:r w:rsidR="002C35F4">
        <w:t>A</w:t>
      </w:r>
      <w:r w:rsidR="00413A84">
        <w:t>ction plan on the transition</w:t>
      </w:r>
      <w:r w:rsidR="002C35F4">
        <w:t xml:space="preserve"> of PWD</w:t>
      </w:r>
      <w:r w:rsidR="00413A84">
        <w:t xml:space="preserve"> from sheltered workshops into the open labour market. This initiative stems from the </w:t>
      </w:r>
      <w:r w:rsidR="001B4539">
        <w:t xml:space="preserve">recommendation in the </w:t>
      </w:r>
      <w:r w:rsidR="00413A84">
        <w:t xml:space="preserve">Concluding </w:t>
      </w:r>
      <w:r w:rsidR="00413A84">
        <w:lastRenderedPageBreak/>
        <w:t xml:space="preserve">Observations of the UN Committee on the Rights of Persons with Disabilities, addressed to Slovakia in April 2016. There might be some synergies between the recommendation, the initiative, and the NRP for 2017. </w:t>
      </w:r>
    </w:p>
    <w:p w14:paraId="19901585" w14:textId="77777777" w:rsidR="001B4539" w:rsidRDefault="001B4539" w:rsidP="00D73FC4">
      <w:pPr>
        <w:spacing w:after="0"/>
        <w:jc w:val="both"/>
      </w:pPr>
    </w:p>
    <w:p w14:paraId="5376741F" w14:textId="2EABE759" w:rsidR="001B4539" w:rsidRDefault="001B4539" w:rsidP="00D73FC4">
      <w:pPr>
        <w:spacing w:after="0"/>
        <w:jc w:val="both"/>
      </w:pPr>
      <w:proofErr w:type="gramStart"/>
      <w:r>
        <w:t>In particular, the</w:t>
      </w:r>
      <w:proofErr w:type="gramEnd"/>
      <w:r>
        <w:t xml:space="preserve"> recommendation of the UN Committee on grounds of which the new initiative to adopt the action plan emerged, was as follows: </w:t>
      </w:r>
    </w:p>
    <w:p w14:paraId="0251A521" w14:textId="77777777" w:rsidR="001B4539" w:rsidRDefault="001B4539" w:rsidP="00D73FC4">
      <w:pPr>
        <w:spacing w:after="0"/>
        <w:jc w:val="both"/>
      </w:pPr>
    </w:p>
    <w:p w14:paraId="11388AA1" w14:textId="77777777" w:rsidR="001B4539" w:rsidRDefault="001B4539" w:rsidP="00D73FC4">
      <w:pPr>
        <w:spacing w:after="0"/>
        <w:ind w:left="567"/>
        <w:jc w:val="both"/>
        <w:rPr>
          <w:bCs/>
          <w:i/>
        </w:rPr>
      </w:pPr>
      <w:r>
        <w:t>“</w:t>
      </w:r>
      <w:r>
        <w:rPr>
          <w:i/>
        </w:rPr>
        <w:t xml:space="preserve">74. </w:t>
      </w:r>
      <w:r>
        <w:rPr>
          <w:bCs/>
          <w:i/>
        </w:rPr>
        <w:t>The Committee recommends that the State party step up efforts on the transition from sheltered workshops to an open labour market for all. The process must include an action plan, timetable, budget and training for public and</w:t>
      </w:r>
      <w:r>
        <w:rPr>
          <w:bCs/>
        </w:rPr>
        <w:t xml:space="preserve"> </w:t>
      </w:r>
      <w:r>
        <w:rPr>
          <w:bCs/>
          <w:i/>
        </w:rPr>
        <w:t>private sector employers, including on the provision of reasonable accommodation.”</w:t>
      </w:r>
      <w:r>
        <w:rPr>
          <w:rStyle w:val="FootnoteReference"/>
          <w:bCs/>
          <w:i/>
        </w:rPr>
        <w:footnoteReference w:id="24"/>
      </w:r>
      <w:r>
        <w:rPr>
          <w:bCs/>
          <w:i/>
        </w:rPr>
        <w:t xml:space="preserve"> </w:t>
      </w:r>
    </w:p>
    <w:p w14:paraId="6093589C" w14:textId="77777777" w:rsidR="002C35F4" w:rsidRDefault="002C35F4" w:rsidP="00D73FC4">
      <w:pPr>
        <w:spacing w:after="0"/>
        <w:jc w:val="both"/>
      </w:pPr>
    </w:p>
    <w:p w14:paraId="412AF957" w14:textId="150FF297" w:rsidR="001B4539" w:rsidRDefault="001B4539" w:rsidP="00D73FC4">
      <w:pPr>
        <w:spacing w:after="0"/>
        <w:jc w:val="both"/>
      </w:pPr>
      <w:proofErr w:type="gramStart"/>
      <w:r>
        <w:t>Similarly</w:t>
      </w:r>
      <w:proofErr w:type="gramEnd"/>
      <w:r>
        <w:t xml:space="preserve"> to that, the MG also specifically states that ‘</w:t>
      </w:r>
      <w:r w:rsidRPr="002C35F4">
        <w:rPr>
          <w:i/>
        </w:rPr>
        <w:t xml:space="preserve">the government will intensify its efforts to include </w:t>
      </w:r>
      <w:r w:rsidR="002C35F4" w:rsidRPr="002C35F4">
        <w:rPr>
          <w:i/>
        </w:rPr>
        <w:t>PWD</w:t>
      </w:r>
      <w:r w:rsidRPr="002C35F4">
        <w:rPr>
          <w:i/>
        </w:rPr>
        <w:t xml:space="preserve"> into the labour market, mainly through support of identification of job vacancies in an open labour market.</w:t>
      </w:r>
      <w:r>
        <w:t xml:space="preserve">’ </w:t>
      </w:r>
    </w:p>
    <w:p w14:paraId="28AC4796" w14:textId="77777777" w:rsidR="001B4539" w:rsidRDefault="001B4539" w:rsidP="00D73FC4">
      <w:pPr>
        <w:spacing w:after="0"/>
        <w:jc w:val="both"/>
        <w:rPr>
          <w:i/>
        </w:rPr>
      </w:pPr>
    </w:p>
    <w:p w14:paraId="0244CB92" w14:textId="3A231A44" w:rsidR="00C5326A" w:rsidRDefault="001B4539" w:rsidP="00D73FC4">
      <w:pPr>
        <w:spacing w:after="0"/>
        <w:jc w:val="both"/>
      </w:pPr>
      <w:r>
        <w:t xml:space="preserve">To address this issue, the </w:t>
      </w:r>
      <w:proofErr w:type="spellStart"/>
      <w:r>
        <w:t>MOLSaF</w:t>
      </w:r>
      <w:proofErr w:type="spellEnd"/>
      <w:r>
        <w:t xml:space="preserve"> initiated </w:t>
      </w:r>
      <w:r w:rsidR="00C5326A">
        <w:t xml:space="preserve">creation of a </w:t>
      </w:r>
      <w:r>
        <w:t xml:space="preserve">working group to prepare the </w:t>
      </w:r>
      <w:r w:rsidR="002C35F4">
        <w:t>A</w:t>
      </w:r>
      <w:r>
        <w:t xml:space="preserve">ction plan on the transition </w:t>
      </w:r>
      <w:r w:rsidR="002C35F4">
        <w:t xml:space="preserve">of PWD </w:t>
      </w:r>
      <w:r>
        <w:t>from sheltered workshops to the open labour market (hereinafter “the action plan”), which consists of various stakeholders, including representatives of persons with disabilities, employers, local and regional municipalities</w:t>
      </w:r>
      <w:r w:rsidR="002C35F4">
        <w:t>, non-governmental initiatives</w:t>
      </w:r>
      <w:r>
        <w:t>. The aim of the discussions in the working group</w:t>
      </w:r>
      <w:r w:rsidR="002C35F4">
        <w:t xml:space="preserve"> was</w:t>
      </w:r>
      <w:r>
        <w:t xml:space="preserve"> to re-define sheltered employment and employment in the open labour </w:t>
      </w:r>
      <w:proofErr w:type="gramStart"/>
      <w:r>
        <w:t>market, and</w:t>
      </w:r>
      <w:proofErr w:type="gramEnd"/>
      <w:r>
        <w:t xml:space="preserve"> propose measures to include as many PWD as possible in the open labour market. </w:t>
      </w:r>
      <w:r w:rsidR="0005276E">
        <w:t>The draft of the action plan</w:t>
      </w:r>
      <w:r w:rsidR="006C3173">
        <w:t xml:space="preserve"> </w:t>
      </w:r>
      <w:r w:rsidR="002C35F4">
        <w:t>was</w:t>
      </w:r>
      <w:r w:rsidR="006C3173">
        <w:t xml:space="preserve"> </w:t>
      </w:r>
      <w:r w:rsidR="0005276E">
        <w:t xml:space="preserve">prepared by the working group at the end of 2017. Consequently, </w:t>
      </w:r>
      <w:r w:rsidR="002C35F4">
        <w:t>the draft</w:t>
      </w:r>
      <w:r w:rsidR="0005276E">
        <w:t xml:space="preserve"> will be subject to reviews at the ministry and interdepartmental fora. It is likely to come into force in 2018.</w:t>
      </w:r>
    </w:p>
    <w:p w14:paraId="4796426B" w14:textId="77777777" w:rsidR="001B4539" w:rsidRDefault="001B4539" w:rsidP="00D73FC4">
      <w:pPr>
        <w:spacing w:after="0"/>
        <w:jc w:val="both"/>
      </w:pPr>
    </w:p>
    <w:p w14:paraId="2536AE04" w14:textId="52B7E758" w:rsidR="00C578AE" w:rsidRPr="001310AB" w:rsidRDefault="002B64BF" w:rsidP="00D73FC4">
      <w:pPr>
        <w:spacing w:after="0"/>
        <w:jc w:val="both"/>
        <w:rPr>
          <w:b/>
          <w:bCs/>
          <w:i/>
          <w:iCs/>
        </w:rPr>
      </w:pPr>
      <w:r w:rsidRPr="001310AB">
        <w:rPr>
          <w:b/>
          <w:bCs/>
          <w:i/>
          <w:iCs/>
        </w:rPr>
        <w:t xml:space="preserve">Ad B: </w:t>
      </w:r>
      <w:r w:rsidR="001310AB">
        <w:rPr>
          <w:b/>
          <w:bCs/>
          <w:i/>
          <w:iCs/>
        </w:rPr>
        <w:t xml:space="preserve">inappropriate </w:t>
      </w:r>
      <w:r w:rsidRPr="001310AB">
        <w:rPr>
          <w:b/>
          <w:bCs/>
          <w:i/>
          <w:iCs/>
        </w:rPr>
        <w:t>structure of the ALMPs</w:t>
      </w:r>
    </w:p>
    <w:p w14:paraId="3BAEEED6" w14:textId="77777777" w:rsidR="006C3173" w:rsidRDefault="006C3173" w:rsidP="00D73FC4">
      <w:pPr>
        <w:spacing w:after="0"/>
        <w:jc w:val="both"/>
      </w:pPr>
    </w:p>
    <w:p w14:paraId="0D14FB71" w14:textId="5208EE68" w:rsidR="00870A26" w:rsidRDefault="0005276E" w:rsidP="00D73FC4">
      <w:pPr>
        <w:spacing w:after="0"/>
        <w:jc w:val="both"/>
      </w:pPr>
      <w:r>
        <w:t>Besides that, the main focus of t</w:t>
      </w:r>
      <w:r w:rsidR="00870A26">
        <w:t xml:space="preserve">he NRP for 2017 </w:t>
      </w:r>
      <w:r>
        <w:t xml:space="preserve">is </w:t>
      </w:r>
      <w:r w:rsidR="00870A26">
        <w:t xml:space="preserve">on integration of the long-term unemployed into the labour </w:t>
      </w:r>
      <w:proofErr w:type="gramStart"/>
      <w:r w:rsidR="00870A26">
        <w:t>market, and</w:t>
      </w:r>
      <w:proofErr w:type="gramEnd"/>
      <w:r w:rsidR="00870A26">
        <w:t xml:space="preserve"> reducing regional disparities. It highlights the positive development in terms of job creation – 2016 was the second most successful year in history. </w:t>
      </w:r>
    </w:p>
    <w:p w14:paraId="3D11B783" w14:textId="77777777" w:rsidR="006C3173" w:rsidRDefault="006C3173" w:rsidP="00D73FC4">
      <w:pPr>
        <w:spacing w:after="0"/>
        <w:jc w:val="both"/>
      </w:pPr>
    </w:p>
    <w:p w14:paraId="6137CB0B" w14:textId="491B72D8" w:rsidR="00870A26" w:rsidRDefault="00870A26" w:rsidP="00D73FC4">
      <w:pPr>
        <w:spacing w:after="0"/>
        <w:jc w:val="both"/>
      </w:pPr>
      <w:r>
        <w:t>From the disability perspective, following statement from the NRP seems of high relevance</w:t>
      </w:r>
      <w:r w:rsidR="00D02CD3">
        <w:t xml:space="preserve">, albeit it </w:t>
      </w:r>
      <w:r w:rsidR="009F121B">
        <w:t>does</w:t>
      </w:r>
      <w:r w:rsidR="00D02CD3">
        <w:t xml:space="preserve"> not explicitly mention disability specific ALMPs</w:t>
      </w:r>
      <w:r>
        <w:t xml:space="preserve">: </w:t>
      </w:r>
    </w:p>
    <w:p w14:paraId="532838E4" w14:textId="77777777" w:rsidR="006C3173" w:rsidRDefault="006C3173" w:rsidP="00D73FC4">
      <w:pPr>
        <w:spacing w:after="0"/>
        <w:jc w:val="both"/>
      </w:pPr>
    </w:p>
    <w:p w14:paraId="132BD012" w14:textId="77777777" w:rsidR="00870A26" w:rsidRPr="00DF4B18" w:rsidRDefault="00870A26" w:rsidP="00D73FC4">
      <w:pPr>
        <w:spacing w:after="0"/>
        <w:ind w:left="720"/>
        <w:jc w:val="both"/>
        <w:rPr>
          <w:i/>
        </w:rPr>
      </w:pPr>
      <w:r w:rsidRPr="00DF4B18">
        <w:rPr>
          <w:i/>
        </w:rPr>
        <w:t xml:space="preserve">“The most used instruments to activate the unemployed differ from those most used in foreign </w:t>
      </w:r>
      <w:proofErr w:type="gramStart"/>
      <w:r w:rsidRPr="00DF4B18">
        <w:rPr>
          <w:i/>
        </w:rPr>
        <w:t>countries, and</w:t>
      </w:r>
      <w:proofErr w:type="gramEnd"/>
      <w:r w:rsidRPr="00DF4B18">
        <w:rPr>
          <w:i/>
        </w:rPr>
        <w:t xml:space="preserve"> are not targeted on prioritised groups. A larger share of the ALMP expenditure is directed to the short-term unemployed </w:t>
      </w:r>
      <w:r w:rsidRPr="00DF4B18">
        <w:rPr>
          <w:i/>
        </w:rPr>
        <w:lastRenderedPageBreak/>
        <w:t xml:space="preserve">(approximately 60 %), with around 40 % of resources retained for worse employable groups of the long-term unemployed.” </w:t>
      </w:r>
    </w:p>
    <w:p w14:paraId="59495EF5" w14:textId="77777777" w:rsidR="006C3173" w:rsidRDefault="006C3173" w:rsidP="00D73FC4">
      <w:pPr>
        <w:spacing w:after="0"/>
        <w:jc w:val="both"/>
      </w:pPr>
    </w:p>
    <w:p w14:paraId="1508DC30" w14:textId="6ECCC886" w:rsidR="00FE7605" w:rsidRDefault="00D02CD3" w:rsidP="00D73FC4">
      <w:pPr>
        <w:spacing w:after="0"/>
        <w:jc w:val="both"/>
      </w:pPr>
      <w:r>
        <w:t xml:space="preserve">In this context, </w:t>
      </w:r>
      <w:r w:rsidR="006659DA">
        <w:t xml:space="preserve">the implication of the NRP for the </w:t>
      </w:r>
      <w:r w:rsidR="00413A84">
        <w:t xml:space="preserve">action plan on the transition from sheltered workshops into the open labour market </w:t>
      </w:r>
      <w:r w:rsidR="006659DA">
        <w:t xml:space="preserve">could be that the action plan </w:t>
      </w:r>
      <w:r w:rsidR="00413A84">
        <w:t xml:space="preserve">would also include measures </w:t>
      </w:r>
      <w:r w:rsidR="006C7206">
        <w:t>to support integration of those PWD who are outside the labour market for a long time into the open labour market.</w:t>
      </w:r>
      <w:r w:rsidR="00C5326A">
        <w:t xml:space="preserve"> However, </w:t>
      </w:r>
      <w:r>
        <w:t xml:space="preserve">possible outcomes seem in this respect uncertain, </w:t>
      </w:r>
      <w:r w:rsidR="00C5326A">
        <w:t xml:space="preserve">because the ministry prefers to focus </w:t>
      </w:r>
      <w:r w:rsidR="006659DA">
        <w:t xml:space="preserve">only </w:t>
      </w:r>
      <w:r w:rsidR="00C5326A">
        <w:t xml:space="preserve">on PWD now working in sheltered workshops, leaving those currently out of work aside. </w:t>
      </w:r>
    </w:p>
    <w:p w14:paraId="4135AF9F" w14:textId="77777777" w:rsidR="006C3173" w:rsidRPr="005A62BD" w:rsidRDefault="006C3173" w:rsidP="00D73FC4">
      <w:pPr>
        <w:spacing w:after="0"/>
        <w:jc w:val="both"/>
      </w:pPr>
    </w:p>
    <w:p w14:paraId="46E73466" w14:textId="340093D0" w:rsidR="00C578AE" w:rsidRPr="001310AB" w:rsidRDefault="00324DAD" w:rsidP="00D73FC4">
      <w:pPr>
        <w:spacing w:after="0"/>
        <w:jc w:val="both"/>
        <w:rPr>
          <w:b/>
          <w:bCs/>
          <w:i/>
          <w:iCs/>
        </w:rPr>
      </w:pPr>
      <w:r w:rsidRPr="001310AB">
        <w:rPr>
          <w:b/>
          <w:bCs/>
          <w:i/>
          <w:iCs/>
        </w:rPr>
        <w:t xml:space="preserve">Ad C: </w:t>
      </w:r>
      <w:r w:rsidR="001310AB" w:rsidRPr="001310AB">
        <w:rPr>
          <w:b/>
          <w:bCs/>
          <w:i/>
          <w:iCs/>
        </w:rPr>
        <w:t xml:space="preserve">Stabilisation of the expenditures to support employment </w:t>
      </w:r>
    </w:p>
    <w:p w14:paraId="4D6D3D6A" w14:textId="77777777" w:rsidR="006C3173" w:rsidRDefault="006C3173" w:rsidP="00D73FC4">
      <w:pPr>
        <w:spacing w:after="0"/>
        <w:jc w:val="both"/>
      </w:pPr>
    </w:p>
    <w:p w14:paraId="41DC0098" w14:textId="439F32D0" w:rsidR="00761D10" w:rsidRDefault="00AA3E46" w:rsidP="00D73FC4">
      <w:pPr>
        <w:spacing w:after="0"/>
        <w:jc w:val="both"/>
      </w:pPr>
      <w:r>
        <w:t xml:space="preserve">Furthermore, </w:t>
      </w:r>
      <w:r w:rsidR="005144FC" w:rsidRPr="005A62BD">
        <w:t xml:space="preserve">in </w:t>
      </w:r>
      <w:r w:rsidR="00176600" w:rsidRPr="005A62BD">
        <w:t xml:space="preserve">previous </w:t>
      </w:r>
      <w:r w:rsidR="005144FC" w:rsidRPr="005A62BD">
        <w:t>report</w:t>
      </w:r>
      <w:r w:rsidR="00176600" w:rsidRPr="005A62BD">
        <w:t>s</w:t>
      </w:r>
      <w:r w:rsidR="005144FC" w:rsidRPr="005A62BD">
        <w:t xml:space="preserve"> on the European Semester 2015/2016 </w:t>
      </w:r>
      <w:r w:rsidR="00176600" w:rsidRPr="005A62BD">
        <w:t xml:space="preserve">and 2016/2017, </w:t>
      </w:r>
      <w:r w:rsidR="005144FC" w:rsidRPr="005A62BD">
        <w:t xml:space="preserve">we pointed to the problem of dramatic decrease in the expenditure on active labour market policies to support employment of PWD, and in number of newly set up subsidised workplaces. </w:t>
      </w:r>
      <w:r w:rsidR="00176600" w:rsidRPr="005A62BD">
        <w:t>Data for 2016 show that the tendency to decreased expenditure has stopped</w:t>
      </w:r>
      <w:r w:rsidR="005D5969">
        <w:t xml:space="preserve"> (see the following table)</w:t>
      </w:r>
      <w:r w:rsidR="00095739">
        <w:t>, although the number of newly set up workplaces remained decreasing</w:t>
      </w:r>
      <w:r w:rsidR="00176600" w:rsidRPr="005A62BD">
        <w:t xml:space="preserve">. Part of the explanation is that the financial support per each workplace has increased as the total labour costs which are a base to calculate the allowances grew. </w:t>
      </w:r>
      <w:r w:rsidR="001D5FBC">
        <w:t xml:space="preserve">As a result, </w:t>
      </w:r>
      <w:r w:rsidR="00547930">
        <w:t xml:space="preserve">total expenditure for disability specific ALMPs increased, although the number of newly created workplaces for PWD dropped down again. </w:t>
      </w:r>
      <w:r w:rsidR="00761D10">
        <w:t xml:space="preserve">Furthermore, </w:t>
      </w:r>
      <w:r w:rsidR="00F131AF">
        <w:t xml:space="preserve">besides the expenditures on the ALMPs, </w:t>
      </w:r>
      <w:r w:rsidR="00761D10">
        <w:t xml:space="preserve">there was </w:t>
      </w:r>
      <w:r w:rsidR="008F2D65">
        <w:t xml:space="preserve">even </w:t>
      </w:r>
      <w:r w:rsidR="00761D10">
        <w:t>another foreseen expenditure</w:t>
      </w:r>
      <w:r w:rsidR="008F2D65">
        <w:t xml:space="preserve"> to </w:t>
      </w:r>
      <w:r w:rsidR="00F131AF">
        <w:t xml:space="preserve">specifically </w:t>
      </w:r>
      <w:r w:rsidR="008F2D65">
        <w:t xml:space="preserve">support participation of </w:t>
      </w:r>
      <w:r w:rsidR="00F131AF">
        <w:t xml:space="preserve">young </w:t>
      </w:r>
      <w:r w:rsidR="008F2D65">
        <w:t xml:space="preserve">PWD </w:t>
      </w:r>
      <w:r w:rsidR="00F131AF">
        <w:t xml:space="preserve">(and young people leaving foster care facilities) </w:t>
      </w:r>
      <w:r w:rsidR="008F2D65">
        <w:t>in the labour market</w:t>
      </w:r>
      <w:r w:rsidR="00F131AF">
        <w:t>.</w:t>
      </w:r>
      <w:r w:rsidR="00761D10">
        <w:t xml:space="preserve"> </w:t>
      </w:r>
      <w:r w:rsidR="006036BA">
        <w:t>A</w:t>
      </w:r>
      <w:r w:rsidR="00761D10">
        <w:t xml:space="preserve"> call for proposals</w:t>
      </w:r>
      <w:r w:rsidR="00761D10">
        <w:rPr>
          <w:rStyle w:val="FootnoteReference"/>
        </w:rPr>
        <w:footnoteReference w:id="25"/>
      </w:r>
      <w:r w:rsidR="00761D10">
        <w:t xml:space="preserve"> to support transition of young people with disabilities</w:t>
      </w:r>
      <w:r w:rsidR="00D73FC4">
        <w:t xml:space="preserve"> </w:t>
      </w:r>
      <w:r w:rsidR="006036BA">
        <w:t>has been financed via ESF and the Youth Guarantee, as well as the state budget</w:t>
      </w:r>
      <w:r w:rsidR="00761D10">
        <w:t xml:space="preserve">. </w:t>
      </w:r>
      <w:r w:rsidR="00420419">
        <w:t>T</w:t>
      </w:r>
      <w:r w:rsidR="00761D10">
        <w:t>he call has been launched</w:t>
      </w:r>
      <w:r w:rsidR="00761D10">
        <w:rPr>
          <w:rStyle w:val="FootnoteReference"/>
        </w:rPr>
        <w:footnoteReference w:id="26"/>
      </w:r>
      <w:r w:rsidR="00761D10">
        <w:t xml:space="preserve"> on December 30, 2016 with the total allocation of EUR 15 million.</w:t>
      </w:r>
    </w:p>
    <w:p w14:paraId="3DC3D5E3" w14:textId="77777777" w:rsidR="00D73FC4" w:rsidRDefault="00D73FC4" w:rsidP="00D73FC4">
      <w:pPr>
        <w:spacing w:after="0"/>
        <w:jc w:val="both"/>
      </w:pPr>
    </w:p>
    <w:p w14:paraId="294E35B9" w14:textId="5648B13A" w:rsidR="00F43B74" w:rsidRDefault="00420419" w:rsidP="00D73FC4">
      <w:pPr>
        <w:spacing w:after="0"/>
        <w:jc w:val="both"/>
      </w:pPr>
      <w:r>
        <w:t>In short</w:t>
      </w:r>
      <w:r w:rsidR="00F43B74">
        <w:t xml:space="preserve">, </w:t>
      </w:r>
      <w:r w:rsidR="00890725">
        <w:t xml:space="preserve">as is also shown in the following tables, </w:t>
      </w:r>
      <w:r w:rsidR="00F43B74">
        <w:t xml:space="preserve">the overall situation in terms of expenditure and the types of available support has slightly improved over the last year, although far more funding goes to the maintenance of jobs than to the creation of the new ones. </w:t>
      </w:r>
    </w:p>
    <w:p w14:paraId="0FF3E945" w14:textId="06DD88F9" w:rsidR="005144FC" w:rsidRPr="005A62BD" w:rsidRDefault="005144FC" w:rsidP="00AB2EF5">
      <w:pPr>
        <w:spacing w:after="0"/>
      </w:pPr>
    </w:p>
    <w:p w14:paraId="1B48B427" w14:textId="77777777" w:rsidR="005144FC" w:rsidRPr="005A62BD" w:rsidRDefault="005144FC" w:rsidP="00AB2EF5">
      <w:pPr>
        <w:spacing w:after="0"/>
        <w:rPr>
          <w:rFonts w:eastAsia="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418"/>
        <w:gridCol w:w="1751"/>
        <w:gridCol w:w="1418"/>
        <w:gridCol w:w="1418"/>
        <w:gridCol w:w="1418"/>
      </w:tblGrid>
      <w:tr w:rsidR="003F359E" w:rsidRPr="005A62BD" w14:paraId="662385D2" w14:textId="77777777" w:rsidTr="003F359E">
        <w:tc>
          <w:tcPr>
            <w:tcW w:w="9286" w:type="dxa"/>
            <w:gridSpan w:val="6"/>
            <w:shd w:val="clear" w:color="auto" w:fill="D9D9D9"/>
          </w:tcPr>
          <w:p w14:paraId="191F704A" w14:textId="2994BB71" w:rsidR="003F359E" w:rsidRPr="005A62BD" w:rsidRDefault="003F359E" w:rsidP="00AB2EF5">
            <w:pPr>
              <w:keepNext/>
              <w:keepLines/>
              <w:spacing w:after="0"/>
              <w:rPr>
                <w:rFonts w:eastAsia="Arial"/>
                <w:b/>
              </w:rPr>
            </w:pPr>
            <w:r w:rsidRPr="005A62BD">
              <w:rPr>
                <w:rFonts w:eastAsia="Arial"/>
                <w:b/>
              </w:rPr>
              <w:lastRenderedPageBreak/>
              <w:t>The expenditure on ALMP for persons with disabilities in years 2012-2016 (in EUR)</w:t>
            </w:r>
          </w:p>
        </w:tc>
      </w:tr>
      <w:tr w:rsidR="000535D1" w:rsidRPr="005A62BD" w14:paraId="013BA2EE" w14:textId="77777777" w:rsidTr="003F359E">
        <w:tc>
          <w:tcPr>
            <w:tcW w:w="2288" w:type="dxa"/>
            <w:shd w:val="clear" w:color="auto" w:fill="D9D9D9"/>
          </w:tcPr>
          <w:p w14:paraId="7BD1B94E" w14:textId="77777777" w:rsidR="000535D1" w:rsidRPr="005A62BD" w:rsidRDefault="000535D1" w:rsidP="00AB2EF5">
            <w:pPr>
              <w:keepNext/>
              <w:keepLines/>
              <w:spacing w:after="0"/>
              <w:rPr>
                <w:rFonts w:eastAsia="Arial"/>
                <w:bCs/>
                <w:i/>
              </w:rPr>
            </w:pPr>
            <w:r w:rsidRPr="005A62BD">
              <w:rPr>
                <w:rFonts w:eastAsia="Arial"/>
                <w:bCs/>
                <w:i/>
              </w:rPr>
              <w:t>Intervention</w:t>
            </w:r>
          </w:p>
        </w:tc>
        <w:tc>
          <w:tcPr>
            <w:tcW w:w="1315" w:type="dxa"/>
            <w:shd w:val="clear" w:color="auto" w:fill="D9D9D9"/>
            <w:vAlign w:val="center"/>
          </w:tcPr>
          <w:p w14:paraId="37BED461" w14:textId="77777777" w:rsidR="000535D1" w:rsidRPr="005A62BD" w:rsidRDefault="000535D1" w:rsidP="00AB2EF5">
            <w:pPr>
              <w:keepNext/>
              <w:keepLines/>
              <w:spacing w:after="0"/>
              <w:rPr>
                <w:rFonts w:eastAsia="Arial"/>
                <w:bCs/>
                <w:i/>
              </w:rPr>
            </w:pPr>
            <w:r w:rsidRPr="005A62BD">
              <w:rPr>
                <w:rFonts w:eastAsia="Arial"/>
                <w:bCs/>
                <w:i/>
              </w:rPr>
              <w:t>2012</w:t>
            </w:r>
          </w:p>
        </w:tc>
        <w:tc>
          <w:tcPr>
            <w:tcW w:w="1621" w:type="dxa"/>
            <w:shd w:val="clear" w:color="auto" w:fill="D9D9D9"/>
            <w:vAlign w:val="center"/>
          </w:tcPr>
          <w:p w14:paraId="2EE66E92" w14:textId="77777777" w:rsidR="000535D1" w:rsidRPr="005A62BD" w:rsidRDefault="000535D1" w:rsidP="00AB2EF5">
            <w:pPr>
              <w:keepNext/>
              <w:keepLines/>
              <w:spacing w:after="0"/>
              <w:rPr>
                <w:rFonts w:eastAsia="Arial"/>
                <w:bCs/>
                <w:i/>
              </w:rPr>
            </w:pPr>
            <w:r w:rsidRPr="005A62BD">
              <w:rPr>
                <w:rFonts w:eastAsia="Arial"/>
                <w:bCs/>
                <w:i/>
              </w:rPr>
              <w:t>2013</w:t>
            </w:r>
          </w:p>
        </w:tc>
        <w:tc>
          <w:tcPr>
            <w:tcW w:w="1329" w:type="dxa"/>
            <w:shd w:val="clear" w:color="auto" w:fill="D9D9D9"/>
            <w:vAlign w:val="center"/>
          </w:tcPr>
          <w:p w14:paraId="592CAF01" w14:textId="77777777" w:rsidR="000535D1" w:rsidRPr="005A62BD" w:rsidRDefault="000535D1" w:rsidP="00AB2EF5">
            <w:pPr>
              <w:keepNext/>
              <w:keepLines/>
              <w:spacing w:after="0"/>
              <w:rPr>
                <w:rFonts w:eastAsia="Arial"/>
                <w:bCs/>
                <w:i/>
              </w:rPr>
            </w:pPr>
            <w:r w:rsidRPr="005A62BD">
              <w:rPr>
                <w:rFonts w:eastAsia="Arial"/>
                <w:bCs/>
                <w:i/>
              </w:rPr>
              <w:t>2014</w:t>
            </w:r>
          </w:p>
        </w:tc>
        <w:tc>
          <w:tcPr>
            <w:tcW w:w="1315" w:type="dxa"/>
            <w:shd w:val="clear" w:color="auto" w:fill="D9D9D9"/>
            <w:vAlign w:val="center"/>
          </w:tcPr>
          <w:p w14:paraId="22429CA5" w14:textId="77777777" w:rsidR="000535D1" w:rsidRPr="005A62BD" w:rsidRDefault="000535D1" w:rsidP="00AB2EF5">
            <w:pPr>
              <w:keepNext/>
              <w:keepLines/>
              <w:spacing w:after="0"/>
              <w:rPr>
                <w:rFonts w:eastAsia="Arial"/>
                <w:bCs/>
                <w:i/>
              </w:rPr>
            </w:pPr>
            <w:r w:rsidRPr="005A62BD">
              <w:rPr>
                <w:rFonts w:eastAsia="Arial"/>
                <w:bCs/>
                <w:i/>
              </w:rPr>
              <w:t>2015*</w:t>
            </w:r>
          </w:p>
        </w:tc>
        <w:tc>
          <w:tcPr>
            <w:tcW w:w="1418" w:type="dxa"/>
            <w:shd w:val="clear" w:color="auto" w:fill="D9D9D9"/>
            <w:vAlign w:val="center"/>
          </w:tcPr>
          <w:p w14:paraId="70803344" w14:textId="77777777" w:rsidR="000535D1" w:rsidRPr="005A62BD" w:rsidRDefault="000535D1" w:rsidP="00AB2EF5">
            <w:pPr>
              <w:keepNext/>
              <w:keepLines/>
              <w:spacing w:after="0"/>
              <w:rPr>
                <w:rFonts w:eastAsia="Arial"/>
                <w:bCs/>
                <w:i/>
              </w:rPr>
            </w:pPr>
            <w:r w:rsidRPr="005A62BD">
              <w:rPr>
                <w:rFonts w:eastAsia="Arial"/>
                <w:bCs/>
                <w:i/>
              </w:rPr>
              <w:t>2016</w:t>
            </w:r>
          </w:p>
        </w:tc>
      </w:tr>
      <w:tr w:rsidR="000535D1" w:rsidRPr="005A62BD" w14:paraId="55A73095" w14:textId="77777777" w:rsidTr="003F359E">
        <w:tc>
          <w:tcPr>
            <w:tcW w:w="2288" w:type="dxa"/>
            <w:shd w:val="clear" w:color="auto" w:fill="auto"/>
            <w:vAlign w:val="center"/>
          </w:tcPr>
          <w:p w14:paraId="67E6353D" w14:textId="77777777" w:rsidR="000535D1" w:rsidRPr="005A62BD" w:rsidRDefault="000535D1" w:rsidP="00AB2EF5">
            <w:pPr>
              <w:keepNext/>
              <w:keepLines/>
              <w:spacing w:after="0"/>
            </w:pPr>
            <w:r w:rsidRPr="005A62BD">
              <w:rPr>
                <w:rFonts w:eastAsia="Arial"/>
                <w:bCs/>
              </w:rPr>
              <w:t>The allowance to set up a sheltered workshop or a sheltered workplace</w:t>
            </w:r>
            <w:r w:rsidRPr="005A62BD">
              <w:rPr>
                <w:rStyle w:val="FootnoteReference"/>
                <w:rFonts w:eastAsia="Arial"/>
                <w:bCs/>
              </w:rPr>
              <w:footnoteReference w:id="27"/>
            </w:r>
          </w:p>
        </w:tc>
        <w:tc>
          <w:tcPr>
            <w:tcW w:w="1315" w:type="dxa"/>
            <w:shd w:val="clear" w:color="auto" w:fill="auto"/>
            <w:vAlign w:val="center"/>
          </w:tcPr>
          <w:p w14:paraId="05954885" w14:textId="77777777" w:rsidR="000535D1" w:rsidRPr="005A62BD" w:rsidRDefault="000535D1" w:rsidP="00AB2EF5">
            <w:pPr>
              <w:keepNext/>
              <w:keepLines/>
              <w:spacing w:after="0"/>
            </w:pPr>
            <w:r w:rsidRPr="005A62BD">
              <w:t>17,657,000</w:t>
            </w:r>
          </w:p>
        </w:tc>
        <w:tc>
          <w:tcPr>
            <w:tcW w:w="1621" w:type="dxa"/>
            <w:shd w:val="clear" w:color="auto" w:fill="auto"/>
            <w:vAlign w:val="center"/>
          </w:tcPr>
          <w:p w14:paraId="4B0BCFB6" w14:textId="77777777" w:rsidR="000535D1" w:rsidRPr="005A62BD" w:rsidRDefault="000535D1" w:rsidP="00AB2EF5">
            <w:pPr>
              <w:keepNext/>
              <w:keepLines/>
              <w:spacing w:after="0"/>
            </w:pPr>
            <w:r w:rsidRPr="005A62BD">
              <w:t>14,217,647</w:t>
            </w:r>
          </w:p>
        </w:tc>
        <w:tc>
          <w:tcPr>
            <w:tcW w:w="1329" w:type="dxa"/>
            <w:shd w:val="clear" w:color="auto" w:fill="auto"/>
            <w:vAlign w:val="center"/>
          </w:tcPr>
          <w:p w14:paraId="1F2C5834" w14:textId="77777777" w:rsidR="000535D1" w:rsidRPr="005A62BD" w:rsidRDefault="000535D1" w:rsidP="00AB2EF5">
            <w:pPr>
              <w:keepNext/>
              <w:keepLines/>
              <w:spacing w:after="0"/>
              <w:rPr>
                <w:rFonts w:eastAsia="Arial"/>
              </w:rPr>
            </w:pPr>
            <w:r w:rsidRPr="005A62BD">
              <w:rPr>
                <w:bCs/>
              </w:rPr>
              <w:t>12,640,458</w:t>
            </w:r>
          </w:p>
        </w:tc>
        <w:tc>
          <w:tcPr>
            <w:tcW w:w="1315" w:type="dxa"/>
            <w:vAlign w:val="center"/>
          </w:tcPr>
          <w:p w14:paraId="034089A1" w14:textId="77777777" w:rsidR="000535D1" w:rsidRPr="005A62BD" w:rsidRDefault="000535D1" w:rsidP="00AB2EF5">
            <w:pPr>
              <w:keepNext/>
              <w:keepLines/>
              <w:spacing w:after="0"/>
              <w:rPr>
                <w:bCs/>
              </w:rPr>
            </w:pPr>
            <w:r w:rsidRPr="005A62BD">
              <w:rPr>
                <w:bCs/>
              </w:rPr>
              <w:t>2,929,705</w:t>
            </w:r>
          </w:p>
        </w:tc>
        <w:tc>
          <w:tcPr>
            <w:tcW w:w="1418" w:type="dxa"/>
            <w:vAlign w:val="center"/>
          </w:tcPr>
          <w:p w14:paraId="5DEC8495" w14:textId="77777777" w:rsidR="000535D1" w:rsidRPr="005A62BD" w:rsidRDefault="00606A51" w:rsidP="00AB2EF5">
            <w:pPr>
              <w:keepNext/>
              <w:keepLines/>
              <w:spacing w:after="0"/>
              <w:rPr>
                <w:bCs/>
              </w:rPr>
            </w:pPr>
            <w:r w:rsidRPr="005A62BD">
              <w:rPr>
                <w:bCs/>
              </w:rPr>
              <w:t>1,310,103</w:t>
            </w:r>
          </w:p>
        </w:tc>
      </w:tr>
      <w:tr w:rsidR="000535D1" w:rsidRPr="005A62BD" w14:paraId="5D3B1010" w14:textId="77777777" w:rsidTr="003F359E">
        <w:tc>
          <w:tcPr>
            <w:tcW w:w="2288" w:type="dxa"/>
            <w:shd w:val="clear" w:color="auto" w:fill="auto"/>
            <w:vAlign w:val="center"/>
          </w:tcPr>
          <w:p w14:paraId="09FF968E" w14:textId="77777777" w:rsidR="000535D1" w:rsidRPr="005A62BD" w:rsidRDefault="000535D1" w:rsidP="00AB2EF5">
            <w:pPr>
              <w:keepNext/>
              <w:keepLines/>
              <w:spacing w:after="0"/>
              <w:rPr>
                <w:rFonts w:eastAsia="Arial"/>
                <w:bCs/>
              </w:rPr>
            </w:pPr>
            <w:r w:rsidRPr="005A62BD">
              <w:rPr>
                <w:rFonts w:eastAsia="Arial"/>
                <w:bCs/>
              </w:rPr>
              <w:t>The allowance to maintain employees with disabilities at work</w:t>
            </w:r>
            <w:r w:rsidRPr="005A62BD">
              <w:rPr>
                <w:rStyle w:val="FootnoteReference"/>
                <w:rFonts w:eastAsia="Arial"/>
                <w:bCs/>
              </w:rPr>
              <w:footnoteReference w:id="28"/>
            </w:r>
          </w:p>
        </w:tc>
        <w:tc>
          <w:tcPr>
            <w:tcW w:w="1315" w:type="dxa"/>
            <w:shd w:val="clear" w:color="auto" w:fill="auto"/>
            <w:vAlign w:val="center"/>
          </w:tcPr>
          <w:p w14:paraId="2D3F7192" w14:textId="77777777" w:rsidR="000535D1" w:rsidRPr="005A62BD" w:rsidRDefault="000535D1" w:rsidP="00AB2EF5">
            <w:pPr>
              <w:keepNext/>
              <w:keepLines/>
              <w:spacing w:after="0"/>
              <w:rPr>
                <w:rFonts w:eastAsia="Arial"/>
              </w:rPr>
            </w:pPr>
            <w:r w:rsidRPr="005A62BD">
              <w:t>885,000</w:t>
            </w:r>
          </w:p>
        </w:tc>
        <w:tc>
          <w:tcPr>
            <w:tcW w:w="1621" w:type="dxa"/>
            <w:shd w:val="clear" w:color="auto" w:fill="auto"/>
            <w:vAlign w:val="center"/>
          </w:tcPr>
          <w:p w14:paraId="75F4B96A" w14:textId="49E7A0F6" w:rsidR="000535D1" w:rsidRPr="005A62BD" w:rsidRDefault="000535D1" w:rsidP="00AB2EF5">
            <w:pPr>
              <w:keepNext/>
              <w:keepLines/>
              <w:spacing w:after="0"/>
              <w:rPr>
                <w:rFonts w:eastAsia="Arial"/>
              </w:rPr>
            </w:pPr>
            <w:r w:rsidRPr="005A62BD">
              <w:t>418</w:t>
            </w:r>
            <w:r w:rsidR="007F21F5" w:rsidRPr="005A62BD">
              <w:t> </w:t>
            </w:r>
            <w:r w:rsidRPr="005A62BD">
              <w:t>569</w:t>
            </w:r>
          </w:p>
        </w:tc>
        <w:tc>
          <w:tcPr>
            <w:tcW w:w="1329" w:type="dxa"/>
            <w:shd w:val="clear" w:color="auto" w:fill="auto"/>
            <w:vAlign w:val="center"/>
          </w:tcPr>
          <w:p w14:paraId="487A0D5F" w14:textId="77777777" w:rsidR="000535D1" w:rsidRPr="005A62BD" w:rsidRDefault="000535D1" w:rsidP="00AB2EF5">
            <w:pPr>
              <w:keepNext/>
              <w:keepLines/>
              <w:spacing w:after="0"/>
              <w:rPr>
                <w:rFonts w:eastAsia="Arial"/>
              </w:rPr>
            </w:pPr>
            <w:r w:rsidRPr="005A62BD">
              <w:rPr>
                <w:bCs/>
              </w:rPr>
              <w:t>38,786</w:t>
            </w:r>
          </w:p>
        </w:tc>
        <w:tc>
          <w:tcPr>
            <w:tcW w:w="1315" w:type="dxa"/>
            <w:vAlign w:val="center"/>
          </w:tcPr>
          <w:p w14:paraId="0D5FC4B7" w14:textId="77777777" w:rsidR="000535D1" w:rsidRPr="005A62BD" w:rsidRDefault="000535D1" w:rsidP="00AB2EF5">
            <w:pPr>
              <w:keepNext/>
              <w:keepLines/>
              <w:spacing w:after="0"/>
              <w:rPr>
                <w:bCs/>
              </w:rPr>
            </w:pPr>
            <w:r w:rsidRPr="005A62BD">
              <w:rPr>
                <w:bCs/>
              </w:rPr>
              <w:t>33,049</w:t>
            </w:r>
          </w:p>
        </w:tc>
        <w:tc>
          <w:tcPr>
            <w:tcW w:w="1418" w:type="dxa"/>
            <w:vAlign w:val="center"/>
          </w:tcPr>
          <w:p w14:paraId="2E0A53BC" w14:textId="77777777" w:rsidR="000535D1" w:rsidRPr="005A62BD" w:rsidRDefault="007F21F5" w:rsidP="00AB2EF5">
            <w:pPr>
              <w:keepNext/>
              <w:keepLines/>
              <w:spacing w:after="0"/>
              <w:rPr>
                <w:bCs/>
              </w:rPr>
            </w:pPr>
            <w:r w:rsidRPr="005A62BD">
              <w:rPr>
                <w:bCs/>
              </w:rPr>
              <w:t>39,544</w:t>
            </w:r>
          </w:p>
        </w:tc>
      </w:tr>
      <w:tr w:rsidR="000535D1" w:rsidRPr="005A62BD" w14:paraId="2B7C57EE" w14:textId="77777777" w:rsidTr="003F359E">
        <w:tc>
          <w:tcPr>
            <w:tcW w:w="2288" w:type="dxa"/>
            <w:shd w:val="clear" w:color="auto" w:fill="auto"/>
            <w:vAlign w:val="center"/>
          </w:tcPr>
          <w:p w14:paraId="3DE41B91" w14:textId="77777777" w:rsidR="000535D1" w:rsidRPr="005A62BD" w:rsidRDefault="000535D1" w:rsidP="00AB2EF5">
            <w:pPr>
              <w:keepNext/>
              <w:keepLines/>
              <w:spacing w:after="0"/>
              <w:rPr>
                <w:rFonts w:eastAsia="Arial"/>
                <w:bCs/>
              </w:rPr>
            </w:pPr>
            <w:r w:rsidRPr="005A62BD">
              <w:rPr>
                <w:rFonts w:eastAsia="Arial"/>
                <w:bCs/>
              </w:rPr>
              <w:t>Self-employment allowance</w:t>
            </w:r>
            <w:r w:rsidRPr="005A62BD">
              <w:rPr>
                <w:rStyle w:val="FootnoteReference"/>
                <w:rFonts w:eastAsia="Arial"/>
                <w:bCs/>
              </w:rPr>
              <w:footnoteReference w:id="29"/>
            </w:r>
          </w:p>
        </w:tc>
        <w:tc>
          <w:tcPr>
            <w:tcW w:w="1315" w:type="dxa"/>
            <w:shd w:val="clear" w:color="auto" w:fill="auto"/>
            <w:vAlign w:val="center"/>
          </w:tcPr>
          <w:p w14:paraId="730256C6" w14:textId="77777777" w:rsidR="000535D1" w:rsidRPr="005A62BD" w:rsidRDefault="000535D1" w:rsidP="00AB2EF5">
            <w:pPr>
              <w:keepNext/>
              <w:keepLines/>
              <w:spacing w:after="0"/>
              <w:rPr>
                <w:rFonts w:eastAsia="Arial"/>
              </w:rPr>
            </w:pPr>
            <w:r w:rsidRPr="005A62BD">
              <w:t>4,742,000</w:t>
            </w:r>
          </w:p>
        </w:tc>
        <w:tc>
          <w:tcPr>
            <w:tcW w:w="1621" w:type="dxa"/>
            <w:shd w:val="clear" w:color="auto" w:fill="auto"/>
            <w:vAlign w:val="center"/>
          </w:tcPr>
          <w:p w14:paraId="3BC7E69C" w14:textId="77777777" w:rsidR="000535D1" w:rsidRPr="005A62BD" w:rsidRDefault="000535D1" w:rsidP="00AB2EF5">
            <w:pPr>
              <w:keepNext/>
              <w:keepLines/>
              <w:spacing w:after="0"/>
              <w:rPr>
                <w:rFonts w:eastAsia="Arial"/>
              </w:rPr>
            </w:pPr>
            <w:r w:rsidRPr="005A62BD">
              <w:t>2,464,961.28</w:t>
            </w:r>
          </w:p>
        </w:tc>
        <w:tc>
          <w:tcPr>
            <w:tcW w:w="1329" w:type="dxa"/>
            <w:shd w:val="clear" w:color="auto" w:fill="auto"/>
            <w:vAlign w:val="center"/>
          </w:tcPr>
          <w:p w14:paraId="7EE6D219" w14:textId="77777777" w:rsidR="000535D1" w:rsidRPr="005A62BD" w:rsidRDefault="000535D1" w:rsidP="00AB2EF5">
            <w:pPr>
              <w:keepNext/>
              <w:keepLines/>
              <w:spacing w:after="0"/>
              <w:rPr>
                <w:rFonts w:eastAsia="Arial"/>
              </w:rPr>
            </w:pPr>
            <w:r w:rsidRPr="005A62BD">
              <w:rPr>
                <w:bCs/>
              </w:rPr>
              <w:t>431,094</w:t>
            </w:r>
          </w:p>
        </w:tc>
        <w:tc>
          <w:tcPr>
            <w:tcW w:w="1315" w:type="dxa"/>
            <w:vAlign w:val="center"/>
          </w:tcPr>
          <w:p w14:paraId="78170AB4" w14:textId="77777777" w:rsidR="000535D1" w:rsidRPr="005A62BD" w:rsidRDefault="000535D1" w:rsidP="00AB2EF5">
            <w:pPr>
              <w:keepNext/>
              <w:keepLines/>
              <w:spacing w:after="0"/>
              <w:rPr>
                <w:bCs/>
              </w:rPr>
            </w:pPr>
            <w:r w:rsidRPr="005A62BD">
              <w:rPr>
                <w:bCs/>
              </w:rPr>
              <w:t>390,473</w:t>
            </w:r>
          </w:p>
        </w:tc>
        <w:tc>
          <w:tcPr>
            <w:tcW w:w="1418" w:type="dxa"/>
            <w:vAlign w:val="center"/>
          </w:tcPr>
          <w:p w14:paraId="2702A4E3" w14:textId="77777777" w:rsidR="000535D1" w:rsidRPr="005A62BD" w:rsidRDefault="007F21F5" w:rsidP="00AB2EF5">
            <w:pPr>
              <w:keepNext/>
              <w:keepLines/>
              <w:spacing w:after="0"/>
              <w:rPr>
                <w:bCs/>
              </w:rPr>
            </w:pPr>
            <w:r w:rsidRPr="005A62BD">
              <w:rPr>
                <w:bCs/>
              </w:rPr>
              <w:t>385,398</w:t>
            </w:r>
          </w:p>
        </w:tc>
      </w:tr>
      <w:tr w:rsidR="000535D1" w:rsidRPr="005A62BD" w14:paraId="77255E83" w14:textId="77777777" w:rsidTr="003F359E">
        <w:tc>
          <w:tcPr>
            <w:tcW w:w="2288" w:type="dxa"/>
            <w:vAlign w:val="center"/>
          </w:tcPr>
          <w:p w14:paraId="5C461987" w14:textId="77777777" w:rsidR="000535D1" w:rsidRPr="005A62BD" w:rsidRDefault="000535D1" w:rsidP="00AB2EF5">
            <w:pPr>
              <w:keepNext/>
              <w:keepLines/>
              <w:spacing w:after="0"/>
            </w:pPr>
            <w:r w:rsidRPr="005A62BD">
              <w:rPr>
                <w:bCs/>
              </w:rPr>
              <w:t>Allowance to cover expenses related to work assistant</w:t>
            </w:r>
            <w:r w:rsidRPr="005A62BD">
              <w:rPr>
                <w:rStyle w:val="FootnoteReference"/>
                <w:bCs/>
              </w:rPr>
              <w:footnoteReference w:id="30"/>
            </w:r>
          </w:p>
        </w:tc>
        <w:tc>
          <w:tcPr>
            <w:tcW w:w="1315" w:type="dxa"/>
            <w:shd w:val="clear" w:color="auto" w:fill="auto"/>
            <w:vAlign w:val="center"/>
          </w:tcPr>
          <w:p w14:paraId="084E489B" w14:textId="77777777" w:rsidR="000535D1" w:rsidRPr="005A62BD" w:rsidRDefault="000535D1" w:rsidP="00AB2EF5">
            <w:pPr>
              <w:keepNext/>
              <w:keepLines/>
              <w:spacing w:after="0"/>
            </w:pPr>
            <w:r w:rsidRPr="005A62BD">
              <w:t>4,288,000</w:t>
            </w:r>
          </w:p>
        </w:tc>
        <w:tc>
          <w:tcPr>
            <w:tcW w:w="1621" w:type="dxa"/>
            <w:shd w:val="clear" w:color="auto" w:fill="auto"/>
            <w:vAlign w:val="center"/>
          </w:tcPr>
          <w:p w14:paraId="3E441FC0" w14:textId="77777777" w:rsidR="000535D1" w:rsidRPr="005A62BD" w:rsidRDefault="000535D1" w:rsidP="00AB2EF5">
            <w:pPr>
              <w:keepNext/>
              <w:keepLines/>
              <w:spacing w:after="0"/>
              <w:rPr>
                <w:bCs/>
              </w:rPr>
            </w:pPr>
            <w:r w:rsidRPr="005A62BD">
              <w:rPr>
                <w:bCs/>
              </w:rPr>
              <w:t>4,121,03</w:t>
            </w:r>
          </w:p>
          <w:p w14:paraId="5682E07D" w14:textId="77777777" w:rsidR="000535D1" w:rsidRPr="005A62BD" w:rsidRDefault="000535D1" w:rsidP="00AB2EF5">
            <w:pPr>
              <w:keepNext/>
              <w:keepLines/>
              <w:spacing w:after="0"/>
            </w:pPr>
          </w:p>
        </w:tc>
        <w:tc>
          <w:tcPr>
            <w:tcW w:w="1329" w:type="dxa"/>
            <w:shd w:val="clear" w:color="auto" w:fill="auto"/>
            <w:vAlign w:val="center"/>
          </w:tcPr>
          <w:p w14:paraId="75EB1025" w14:textId="77777777" w:rsidR="000535D1" w:rsidRPr="005A62BD" w:rsidRDefault="000535D1" w:rsidP="00AB2EF5">
            <w:pPr>
              <w:keepNext/>
              <w:keepLines/>
              <w:spacing w:after="0"/>
              <w:rPr>
                <w:bCs/>
              </w:rPr>
            </w:pPr>
            <w:r w:rsidRPr="005A62BD">
              <w:rPr>
                <w:bCs/>
              </w:rPr>
              <w:t>3,220,722</w:t>
            </w:r>
          </w:p>
        </w:tc>
        <w:tc>
          <w:tcPr>
            <w:tcW w:w="1315" w:type="dxa"/>
            <w:shd w:val="clear" w:color="auto" w:fill="auto"/>
            <w:vAlign w:val="center"/>
          </w:tcPr>
          <w:p w14:paraId="55D75B7E" w14:textId="77777777" w:rsidR="000535D1" w:rsidRPr="005A62BD" w:rsidRDefault="000535D1" w:rsidP="00AB2EF5">
            <w:pPr>
              <w:keepNext/>
              <w:keepLines/>
              <w:spacing w:after="0"/>
              <w:rPr>
                <w:bCs/>
              </w:rPr>
            </w:pPr>
            <w:r w:rsidRPr="005A62BD">
              <w:rPr>
                <w:bCs/>
              </w:rPr>
              <w:t>3,255,677</w:t>
            </w:r>
          </w:p>
        </w:tc>
        <w:tc>
          <w:tcPr>
            <w:tcW w:w="1418" w:type="dxa"/>
            <w:vAlign w:val="center"/>
          </w:tcPr>
          <w:p w14:paraId="41DDDAF2" w14:textId="77777777" w:rsidR="000535D1" w:rsidRPr="005A62BD" w:rsidRDefault="00196F36" w:rsidP="00AB2EF5">
            <w:pPr>
              <w:keepNext/>
              <w:keepLines/>
              <w:spacing w:after="0"/>
              <w:rPr>
                <w:bCs/>
              </w:rPr>
            </w:pPr>
            <w:r w:rsidRPr="005A62BD">
              <w:rPr>
                <w:bCs/>
              </w:rPr>
              <w:t>4,206,871</w:t>
            </w:r>
          </w:p>
        </w:tc>
      </w:tr>
      <w:tr w:rsidR="000535D1" w:rsidRPr="005A62BD" w14:paraId="7F33735C" w14:textId="77777777" w:rsidTr="003F359E">
        <w:tc>
          <w:tcPr>
            <w:tcW w:w="2288" w:type="dxa"/>
            <w:vAlign w:val="center"/>
          </w:tcPr>
          <w:p w14:paraId="6FA7B74E" w14:textId="77777777" w:rsidR="000535D1" w:rsidRPr="005A62BD" w:rsidRDefault="000535D1" w:rsidP="00AB2EF5">
            <w:pPr>
              <w:keepNext/>
              <w:keepLines/>
              <w:spacing w:after="0"/>
            </w:pPr>
            <w:r w:rsidRPr="005A62BD">
              <w:rPr>
                <w:bCs/>
              </w:rPr>
              <w:t>The allowance to partially cover operating expenses of sheltered workshops and sheltered workplaces</w:t>
            </w:r>
            <w:r w:rsidRPr="005A62BD">
              <w:rPr>
                <w:rStyle w:val="FootnoteReference"/>
                <w:bCs/>
              </w:rPr>
              <w:footnoteReference w:id="31"/>
            </w:r>
          </w:p>
        </w:tc>
        <w:tc>
          <w:tcPr>
            <w:tcW w:w="1315" w:type="dxa"/>
            <w:shd w:val="clear" w:color="auto" w:fill="auto"/>
            <w:vAlign w:val="center"/>
          </w:tcPr>
          <w:p w14:paraId="103024F3" w14:textId="77777777" w:rsidR="000535D1" w:rsidRPr="005A62BD" w:rsidRDefault="000535D1" w:rsidP="00AB2EF5">
            <w:pPr>
              <w:keepNext/>
              <w:keepLines/>
              <w:spacing w:after="0"/>
            </w:pPr>
            <w:r w:rsidRPr="005A62BD">
              <w:t>13,568,000</w:t>
            </w:r>
          </w:p>
        </w:tc>
        <w:tc>
          <w:tcPr>
            <w:tcW w:w="1621" w:type="dxa"/>
            <w:shd w:val="clear" w:color="auto" w:fill="auto"/>
            <w:vAlign w:val="center"/>
          </w:tcPr>
          <w:p w14:paraId="22062A43" w14:textId="77777777" w:rsidR="000535D1" w:rsidRPr="005A62BD" w:rsidRDefault="000535D1" w:rsidP="00AB2EF5">
            <w:pPr>
              <w:keepNext/>
              <w:keepLines/>
              <w:spacing w:after="0"/>
            </w:pPr>
            <w:r w:rsidRPr="005A62BD">
              <w:t>14,715,025.64</w:t>
            </w:r>
          </w:p>
        </w:tc>
        <w:tc>
          <w:tcPr>
            <w:tcW w:w="1329" w:type="dxa"/>
            <w:shd w:val="clear" w:color="auto" w:fill="auto"/>
            <w:vAlign w:val="center"/>
          </w:tcPr>
          <w:p w14:paraId="619017B7" w14:textId="77777777" w:rsidR="000535D1" w:rsidRPr="005A62BD" w:rsidRDefault="000535D1" w:rsidP="00AB2EF5">
            <w:pPr>
              <w:keepNext/>
              <w:keepLines/>
              <w:spacing w:after="0"/>
              <w:rPr>
                <w:bCs/>
              </w:rPr>
            </w:pPr>
            <w:r w:rsidRPr="005A62BD">
              <w:rPr>
                <w:bCs/>
              </w:rPr>
              <w:t>20,258,100</w:t>
            </w:r>
          </w:p>
        </w:tc>
        <w:tc>
          <w:tcPr>
            <w:tcW w:w="1315" w:type="dxa"/>
            <w:shd w:val="clear" w:color="auto" w:fill="auto"/>
            <w:vAlign w:val="center"/>
          </w:tcPr>
          <w:p w14:paraId="6FEABD57" w14:textId="77777777" w:rsidR="000535D1" w:rsidRPr="005A62BD" w:rsidRDefault="000535D1" w:rsidP="00AB2EF5">
            <w:pPr>
              <w:keepNext/>
              <w:keepLines/>
              <w:spacing w:after="0"/>
              <w:rPr>
                <w:bCs/>
              </w:rPr>
            </w:pPr>
            <w:r w:rsidRPr="005A62BD">
              <w:rPr>
                <w:bCs/>
              </w:rPr>
              <w:t>23,614,157</w:t>
            </w:r>
          </w:p>
        </w:tc>
        <w:tc>
          <w:tcPr>
            <w:tcW w:w="1418" w:type="dxa"/>
            <w:vAlign w:val="center"/>
          </w:tcPr>
          <w:p w14:paraId="1B6EA818" w14:textId="77777777" w:rsidR="000535D1" w:rsidRPr="005A62BD" w:rsidRDefault="00AE2B18" w:rsidP="00AB2EF5">
            <w:pPr>
              <w:keepNext/>
              <w:keepLines/>
              <w:spacing w:after="0"/>
              <w:rPr>
                <w:bCs/>
              </w:rPr>
            </w:pPr>
            <w:r w:rsidRPr="005A62BD">
              <w:rPr>
                <w:bCs/>
              </w:rPr>
              <w:t>26,633,613</w:t>
            </w:r>
          </w:p>
        </w:tc>
      </w:tr>
      <w:tr w:rsidR="000535D1" w:rsidRPr="005A62BD" w14:paraId="4C07E0B3" w14:textId="77777777" w:rsidTr="003F359E">
        <w:tc>
          <w:tcPr>
            <w:tcW w:w="2288" w:type="dxa"/>
            <w:shd w:val="clear" w:color="auto" w:fill="auto"/>
            <w:vAlign w:val="center"/>
          </w:tcPr>
          <w:p w14:paraId="73DD9E09" w14:textId="77777777" w:rsidR="000535D1" w:rsidRPr="005A62BD" w:rsidRDefault="000535D1" w:rsidP="00AB2EF5">
            <w:pPr>
              <w:keepNext/>
              <w:keepLines/>
              <w:spacing w:after="0"/>
              <w:rPr>
                <w:bCs/>
              </w:rPr>
            </w:pPr>
            <w:r w:rsidRPr="005A62BD">
              <w:rPr>
                <w:bCs/>
              </w:rPr>
              <w:t>Total</w:t>
            </w:r>
          </w:p>
        </w:tc>
        <w:tc>
          <w:tcPr>
            <w:tcW w:w="1315" w:type="dxa"/>
            <w:shd w:val="clear" w:color="auto" w:fill="auto"/>
            <w:vAlign w:val="center"/>
          </w:tcPr>
          <w:p w14:paraId="1804A4CD" w14:textId="77777777" w:rsidR="000535D1" w:rsidRPr="005A62BD" w:rsidRDefault="000535D1" w:rsidP="00AB2EF5">
            <w:pPr>
              <w:keepNext/>
              <w:keepLines/>
              <w:spacing w:after="0"/>
            </w:pPr>
            <w:r w:rsidRPr="005A62BD">
              <w:t>40,870,000</w:t>
            </w:r>
          </w:p>
        </w:tc>
        <w:tc>
          <w:tcPr>
            <w:tcW w:w="1621" w:type="dxa"/>
            <w:shd w:val="clear" w:color="auto" w:fill="auto"/>
            <w:vAlign w:val="center"/>
          </w:tcPr>
          <w:p w14:paraId="053304BF" w14:textId="77777777" w:rsidR="000535D1" w:rsidRPr="005A62BD" w:rsidRDefault="000535D1" w:rsidP="00AB2EF5">
            <w:pPr>
              <w:keepNext/>
              <w:keepLines/>
              <w:spacing w:after="0"/>
            </w:pPr>
            <w:r w:rsidRPr="005A62BD">
              <w:t>35,937,505</w:t>
            </w:r>
          </w:p>
        </w:tc>
        <w:tc>
          <w:tcPr>
            <w:tcW w:w="1329" w:type="dxa"/>
            <w:shd w:val="clear" w:color="auto" w:fill="auto"/>
            <w:vAlign w:val="center"/>
          </w:tcPr>
          <w:p w14:paraId="1149D6AD" w14:textId="77777777" w:rsidR="000535D1" w:rsidRPr="005A62BD" w:rsidRDefault="000535D1" w:rsidP="00AB2EF5">
            <w:pPr>
              <w:keepNext/>
              <w:keepLines/>
              <w:spacing w:after="0"/>
              <w:rPr>
                <w:bCs/>
              </w:rPr>
            </w:pPr>
            <w:r w:rsidRPr="005A62BD">
              <w:rPr>
                <w:bCs/>
              </w:rPr>
              <w:t>22,443,579</w:t>
            </w:r>
          </w:p>
        </w:tc>
        <w:tc>
          <w:tcPr>
            <w:tcW w:w="1315" w:type="dxa"/>
            <w:vAlign w:val="center"/>
          </w:tcPr>
          <w:p w14:paraId="58BD62AB" w14:textId="77777777" w:rsidR="000535D1" w:rsidRPr="005A62BD" w:rsidRDefault="000535D1" w:rsidP="00AB2EF5">
            <w:pPr>
              <w:keepNext/>
              <w:keepLines/>
              <w:spacing w:after="0"/>
              <w:rPr>
                <w:bCs/>
              </w:rPr>
            </w:pPr>
            <w:r w:rsidRPr="005A62BD">
              <w:rPr>
                <w:bCs/>
              </w:rPr>
              <w:t>30,223,061</w:t>
            </w:r>
          </w:p>
        </w:tc>
        <w:tc>
          <w:tcPr>
            <w:tcW w:w="1418" w:type="dxa"/>
            <w:vAlign w:val="center"/>
          </w:tcPr>
          <w:p w14:paraId="747F2052" w14:textId="77777777" w:rsidR="000535D1" w:rsidRPr="005A62BD" w:rsidRDefault="00DB7179" w:rsidP="00AB2EF5">
            <w:pPr>
              <w:keepNext/>
              <w:keepLines/>
              <w:spacing w:after="0"/>
              <w:rPr>
                <w:bCs/>
              </w:rPr>
            </w:pPr>
            <w:r w:rsidRPr="005A62BD">
              <w:t>32,575,529</w:t>
            </w:r>
          </w:p>
        </w:tc>
      </w:tr>
    </w:tbl>
    <w:p w14:paraId="6544170E" w14:textId="6467C4CA" w:rsidR="00014C22" w:rsidRPr="005A62BD" w:rsidRDefault="007238CE" w:rsidP="00D73FC4">
      <w:pPr>
        <w:spacing w:after="0"/>
        <w:jc w:val="both"/>
        <w:rPr>
          <w:lang w:eastAsia="sk-SK"/>
        </w:rPr>
      </w:pPr>
      <w:bookmarkStart w:id="24" w:name="OLE_LINK17"/>
      <w:bookmarkStart w:id="25" w:name="OLE_LINK18"/>
      <w:r w:rsidRPr="005A62BD">
        <w:rPr>
          <w:i/>
        </w:rPr>
        <w:lastRenderedPageBreak/>
        <w:t xml:space="preserve">Source: </w:t>
      </w:r>
      <w:proofErr w:type="spellStart"/>
      <w:r w:rsidR="00014C22" w:rsidRPr="005A62BD">
        <w:rPr>
          <w:i/>
        </w:rPr>
        <w:t>Správa</w:t>
      </w:r>
      <w:proofErr w:type="spellEnd"/>
      <w:r w:rsidR="00014C22" w:rsidRPr="005A62BD">
        <w:rPr>
          <w:i/>
        </w:rPr>
        <w:t xml:space="preserve"> o </w:t>
      </w:r>
      <w:proofErr w:type="spellStart"/>
      <w:r w:rsidR="00014C22" w:rsidRPr="005A62BD">
        <w:rPr>
          <w:i/>
        </w:rPr>
        <w:t>sociálnej</w:t>
      </w:r>
      <w:proofErr w:type="spellEnd"/>
      <w:r w:rsidR="00014C22" w:rsidRPr="005A62BD">
        <w:rPr>
          <w:i/>
        </w:rPr>
        <w:t xml:space="preserve"> </w:t>
      </w:r>
      <w:proofErr w:type="spellStart"/>
      <w:r w:rsidR="00014C22" w:rsidRPr="005A62BD">
        <w:rPr>
          <w:i/>
        </w:rPr>
        <w:t>situácii</w:t>
      </w:r>
      <w:proofErr w:type="spellEnd"/>
      <w:r w:rsidR="00014C22" w:rsidRPr="005A62BD">
        <w:rPr>
          <w:i/>
        </w:rPr>
        <w:t xml:space="preserve"> </w:t>
      </w:r>
      <w:proofErr w:type="spellStart"/>
      <w:r w:rsidR="00014C22" w:rsidRPr="005A62BD">
        <w:rPr>
          <w:i/>
        </w:rPr>
        <w:t>obyvateľstva</w:t>
      </w:r>
      <w:proofErr w:type="spellEnd"/>
      <w:r w:rsidR="00014C22" w:rsidRPr="005A62BD">
        <w:rPr>
          <w:i/>
        </w:rPr>
        <w:t xml:space="preserve"> za </w:t>
      </w:r>
      <w:proofErr w:type="spellStart"/>
      <w:r w:rsidR="00014C22" w:rsidRPr="005A62BD">
        <w:rPr>
          <w:i/>
        </w:rPr>
        <w:t>rok</w:t>
      </w:r>
      <w:proofErr w:type="spellEnd"/>
      <w:r w:rsidR="00014C22" w:rsidRPr="005A62BD">
        <w:rPr>
          <w:i/>
        </w:rPr>
        <w:t xml:space="preserve"> 2013 </w:t>
      </w:r>
      <w:r w:rsidR="00014C22" w:rsidRPr="005A62BD">
        <w:t>a</w:t>
      </w:r>
      <w:r w:rsidR="00014C22" w:rsidRPr="005A62BD">
        <w:rPr>
          <w:i/>
        </w:rPr>
        <w:t xml:space="preserve"> za </w:t>
      </w:r>
      <w:proofErr w:type="spellStart"/>
      <w:r w:rsidR="00014C22" w:rsidRPr="005A62BD">
        <w:rPr>
          <w:i/>
        </w:rPr>
        <w:t>rok</w:t>
      </w:r>
      <w:proofErr w:type="spellEnd"/>
      <w:r w:rsidR="00014C22" w:rsidRPr="005A62BD">
        <w:rPr>
          <w:i/>
        </w:rPr>
        <w:t xml:space="preserve"> 2016 [Report on the Social Situation of the Population of Slovak Republic for year 2013 and 2016]</w:t>
      </w:r>
      <w:r w:rsidR="006C3173">
        <w:rPr>
          <w:i/>
        </w:rPr>
        <w:t>.</w:t>
      </w:r>
      <w:r w:rsidR="00014C22" w:rsidRPr="005A62BD">
        <w:rPr>
          <w:rStyle w:val="FootnoteReference"/>
          <w:i/>
        </w:rPr>
        <w:footnoteReference w:id="32"/>
      </w:r>
      <w:r w:rsidR="00014C22" w:rsidRPr="005A62BD">
        <w:rPr>
          <w:i/>
        </w:rPr>
        <w:t xml:space="preserve"> </w:t>
      </w:r>
    </w:p>
    <w:bookmarkEnd w:id="24"/>
    <w:bookmarkEnd w:id="25"/>
    <w:p w14:paraId="6D69ECC4" w14:textId="77777777" w:rsidR="00D73FC4" w:rsidRDefault="00D73FC4" w:rsidP="00D73FC4">
      <w:pPr>
        <w:spacing w:after="0"/>
        <w:jc w:val="both"/>
      </w:pPr>
    </w:p>
    <w:p w14:paraId="003560BC" w14:textId="72D9DBE7" w:rsidR="007238CE" w:rsidRPr="005A62BD" w:rsidRDefault="003F359E" w:rsidP="00D73FC4">
      <w:pPr>
        <w:spacing w:after="0"/>
        <w:jc w:val="both"/>
      </w:pPr>
      <w:r w:rsidRPr="005A62BD">
        <w:t>In 2015, the Central Office of Labour, Social Affairs and Family (</w:t>
      </w:r>
      <w:proofErr w:type="spellStart"/>
      <w:r w:rsidRPr="005A62BD">
        <w:t>COLSaF</w:t>
      </w:r>
      <w:proofErr w:type="spellEnd"/>
      <w:r w:rsidRPr="005A62BD">
        <w:t>) made certain changes in their reporting. Whereas until 2014 they referred to sums of funding under agreement (incl. money contracted but not spent yet), in 2015 reference was made to actual spending in the period. Consequently, the total sums seem decreased very much in 2015 (especially in case of allowance to set up a sheltered workshop / workplace), although a real decrease in funding was probably not as steep. Therefore</w:t>
      </w:r>
      <w:r w:rsidR="006C3173">
        <w:t>,</w:t>
      </w:r>
      <w:r w:rsidRPr="005A62BD">
        <w:t xml:space="preserve"> comparison with previous years should be addressed with caution.</w:t>
      </w:r>
    </w:p>
    <w:p w14:paraId="1ACCCE50" w14:textId="77777777" w:rsidR="0067162C" w:rsidRPr="005A62BD" w:rsidRDefault="0067162C" w:rsidP="00AB2EF5">
      <w:pPr>
        <w:spacing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117"/>
        <w:gridCol w:w="1117"/>
        <w:gridCol w:w="1117"/>
        <w:gridCol w:w="1117"/>
        <w:gridCol w:w="1117"/>
      </w:tblGrid>
      <w:tr w:rsidR="00341D00" w:rsidRPr="001310AB" w14:paraId="2C2E58FA" w14:textId="77777777" w:rsidTr="001310AB">
        <w:trPr>
          <w:trHeight w:val="283"/>
        </w:trPr>
        <w:tc>
          <w:tcPr>
            <w:tcW w:w="0" w:type="auto"/>
            <w:gridSpan w:val="5"/>
            <w:shd w:val="clear" w:color="auto" w:fill="D9D9D9"/>
          </w:tcPr>
          <w:p w14:paraId="3E138784" w14:textId="28F4ECA4" w:rsidR="00341D00" w:rsidRPr="001310AB" w:rsidRDefault="00341D00" w:rsidP="00AB2EF5">
            <w:pPr>
              <w:pStyle w:val="ListParagraph"/>
              <w:keepNext/>
              <w:spacing w:after="0"/>
              <w:ind w:left="0"/>
              <w:rPr>
                <w:b/>
                <w:bCs/>
                <w:sz w:val="20"/>
                <w:szCs w:val="20"/>
              </w:rPr>
            </w:pPr>
            <w:r w:rsidRPr="001310AB">
              <w:rPr>
                <w:b/>
                <w:sz w:val="20"/>
                <w:szCs w:val="20"/>
              </w:rPr>
              <w:t>Number of created / subsidised workplaces in years 2012-</w:t>
            </w:r>
            <w:r w:rsidRPr="001310AB">
              <w:rPr>
                <w:rFonts w:eastAsia="Arial"/>
                <w:b/>
                <w:sz w:val="20"/>
                <w:szCs w:val="20"/>
              </w:rPr>
              <w:t>2015</w:t>
            </w:r>
          </w:p>
        </w:tc>
        <w:tc>
          <w:tcPr>
            <w:tcW w:w="0" w:type="auto"/>
            <w:shd w:val="clear" w:color="auto" w:fill="D9D9D9"/>
          </w:tcPr>
          <w:p w14:paraId="0E429A83" w14:textId="77777777" w:rsidR="00341D00" w:rsidRPr="001310AB" w:rsidRDefault="00341D00" w:rsidP="00AB2EF5">
            <w:pPr>
              <w:pStyle w:val="ListParagraph"/>
              <w:keepNext/>
              <w:spacing w:after="0"/>
              <w:ind w:left="0"/>
              <w:rPr>
                <w:sz w:val="20"/>
                <w:szCs w:val="20"/>
              </w:rPr>
            </w:pPr>
          </w:p>
        </w:tc>
      </w:tr>
      <w:tr w:rsidR="00341D00" w:rsidRPr="001310AB" w14:paraId="1A1901B4" w14:textId="77777777" w:rsidTr="001310AB">
        <w:tc>
          <w:tcPr>
            <w:tcW w:w="0" w:type="auto"/>
            <w:shd w:val="clear" w:color="auto" w:fill="D9D9D9"/>
            <w:vAlign w:val="center"/>
          </w:tcPr>
          <w:p w14:paraId="091829F1" w14:textId="77777777" w:rsidR="00341D00" w:rsidRPr="001310AB" w:rsidRDefault="00341D00" w:rsidP="00AB2EF5">
            <w:pPr>
              <w:keepNext/>
              <w:spacing w:after="0"/>
              <w:rPr>
                <w:i/>
                <w:sz w:val="20"/>
                <w:szCs w:val="20"/>
              </w:rPr>
            </w:pPr>
            <w:bookmarkStart w:id="26" w:name="_Hlk430004874"/>
            <w:r w:rsidRPr="001310AB">
              <w:rPr>
                <w:i/>
                <w:sz w:val="20"/>
                <w:szCs w:val="20"/>
              </w:rPr>
              <w:t>Intervention</w:t>
            </w:r>
          </w:p>
        </w:tc>
        <w:tc>
          <w:tcPr>
            <w:tcW w:w="0" w:type="auto"/>
            <w:shd w:val="clear" w:color="auto" w:fill="D9D9D9"/>
            <w:vAlign w:val="center"/>
          </w:tcPr>
          <w:p w14:paraId="7F0DC216" w14:textId="77777777" w:rsidR="00341D00" w:rsidRPr="001310AB" w:rsidRDefault="00341D00" w:rsidP="001310AB">
            <w:pPr>
              <w:keepNext/>
              <w:spacing w:after="0"/>
              <w:jc w:val="center"/>
              <w:rPr>
                <w:i/>
                <w:sz w:val="20"/>
                <w:szCs w:val="20"/>
              </w:rPr>
            </w:pPr>
            <w:r w:rsidRPr="001310AB">
              <w:rPr>
                <w:i/>
                <w:sz w:val="20"/>
                <w:szCs w:val="20"/>
              </w:rPr>
              <w:t>2012</w:t>
            </w:r>
          </w:p>
        </w:tc>
        <w:tc>
          <w:tcPr>
            <w:tcW w:w="0" w:type="auto"/>
            <w:shd w:val="clear" w:color="auto" w:fill="D9D9D9"/>
            <w:vAlign w:val="center"/>
          </w:tcPr>
          <w:p w14:paraId="4DDBC765" w14:textId="77777777" w:rsidR="00341D00" w:rsidRPr="001310AB" w:rsidRDefault="00341D00" w:rsidP="001310AB">
            <w:pPr>
              <w:keepNext/>
              <w:spacing w:after="0"/>
              <w:jc w:val="center"/>
              <w:rPr>
                <w:i/>
                <w:sz w:val="20"/>
                <w:szCs w:val="20"/>
              </w:rPr>
            </w:pPr>
            <w:r w:rsidRPr="001310AB">
              <w:rPr>
                <w:i/>
                <w:sz w:val="20"/>
                <w:szCs w:val="20"/>
              </w:rPr>
              <w:t>2013</w:t>
            </w:r>
          </w:p>
        </w:tc>
        <w:tc>
          <w:tcPr>
            <w:tcW w:w="0" w:type="auto"/>
            <w:shd w:val="clear" w:color="auto" w:fill="D9D9D9"/>
            <w:vAlign w:val="center"/>
          </w:tcPr>
          <w:p w14:paraId="037D3BD8" w14:textId="77777777" w:rsidR="00341D00" w:rsidRPr="001310AB" w:rsidRDefault="00341D00" w:rsidP="001310AB">
            <w:pPr>
              <w:keepNext/>
              <w:spacing w:after="0"/>
              <w:jc w:val="center"/>
              <w:rPr>
                <w:i/>
                <w:sz w:val="20"/>
                <w:szCs w:val="20"/>
              </w:rPr>
            </w:pPr>
            <w:r w:rsidRPr="001310AB">
              <w:rPr>
                <w:i/>
                <w:sz w:val="20"/>
                <w:szCs w:val="20"/>
              </w:rPr>
              <w:t>2014</w:t>
            </w:r>
          </w:p>
        </w:tc>
        <w:tc>
          <w:tcPr>
            <w:tcW w:w="0" w:type="auto"/>
            <w:shd w:val="clear" w:color="auto" w:fill="D9D9D9"/>
            <w:vAlign w:val="center"/>
          </w:tcPr>
          <w:p w14:paraId="766D9240" w14:textId="77777777" w:rsidR="00341D00" w:rsidRPr="001310AB" w:rsidRDefault="00341D00" w:rsidP="001310AB">
            <w:pPr>
              <w:keepNext/>
              <w:spacing w:after="0"/>
              <w:jc w:val="center"/>
              <w:rPr>
                <w:bCs/>
                <w:i/>
                <w:sz w:val="20"/>
                <w:szCs w:val="20"/>
              </w:rPr>
            </w:pPr>
            <w:r w:rsidRPr="001310AB">
              <w:rPr>
                <w:bCs/>
                <w:i/>
                <w:sz w:val="20"/>
                <w:szCs w:val="20"/>
              </w:rPr>
              <w:t>2015</w:t>
            </w:r>
          </w:p>
        </w:tc>
        <w:tc>
          <w:tcPr>
            <w:tcW w:w="0" w:type="auto"/>
            <w:shd w:val="clear" w:color="auto" w:fill="D9D9D9"/>
            <w:vAlign w:val="center"/>
          </w:tcPr>
          <w:p w14:paraId="649097B6" w14:textId="77777777" w:rsidR="00341D00" w:rsidRPr="001310AB" w:rsidRDefault="00341D00" w:rsidP="001310AB">
            <w:pPr>
              <w:keepNext/>
              <w:spacing w:after="0"/>
              <w:jc w:val="center"/>
              <w:rPr>
                <w:bCs/>
                <w:i/>
                <w:sz w:val="20"/>
                <w:szCs w:val="20"/>
              </w:rPr>
            </w:pPr>
            <w:r w:rsidRPr="001310AB">
              <w:rPr>
                <w:bCs/>
                <w:i/>
                <w:sz w:val="20"/>
                <w:szCs w:val="20"/>
              </w:rPr>
              <w:t>2016</w:t>
            </w:r>
          </w:p>
        </w:tc>
      </w:tr>
      <w:tr w:rsidR="00341D00" w:rsidRPr="001310AB" w14:paraId="4E712995" w14:textId="77777777" w:rsidTr="001310AB">
        <w:trPr>
          <w:trHeight w:val="580"/>
        </w:trPr>
        <w:tc>
          <w:tcPr>
            <w:tcW w:w="0" w:type="auto"/>
            <w:shd w:val="clear" w:color="auto" w:fill="auto"/>
            <w:vAlign w:val="center"/>
          </w:tcPr>
          <w:p w14:paraId="4C630F09" w14:textId="77777777" w:rsidR="00341D00" w:rsidRPr="001310AB" w:rsidRDefault="00341D00" w:rsidP="00AB2EF5">
            <w:pPr>
              <w:keepNext/>
              <w:spacing w:after="0"/>
              <w:rPr>
                <w:sz w:val="20"/>
                <w:szCs w:val="20"/>
              </w:rPr>
            </w:pPr>
            <w:r w:rsidRPr="001310AB">
              <w:rPr>
                <w:sz w:val="20"/>
                <w:szCs w:val="20"/>
              </w:rPr>
              <w:t>The allowance to set up a sheltered workshop or a sheltered workplace</w:t>
            </w:r>
          </w:p>
        </w:tc>
        <w:tc>
          <w:tcPr>
            <w:tcW w:w="0" w:type="auto"/>
            <w:shd w:val="clear" w:color="auto" w:fill="auto"/>
            <w:vAlign w:val="center"/>
          </w:tcPr>
          <w:p w14:paraId="0F44B266" w14:textId="77777777" w:rsidR="00341D00" w:rsidRPr="001310AB" w:rsidRDefault="00341D00" w:rsidP="001310AB">
            <w:pPr>
              <w:keepNext/>
              <w:spacing w:after="0"/>
              <w:ind w:right="400"/>
              <w:jc w:val="right"/>
              <w:rPr>
                <w:sz w:val="20"/>
                <w:szCs w:val="20"/>
              </w:rPr>
            </w:pPr>
            <w:r w:rsidRPr="001310AB">
              <w:rPr>
                <w:sz w:val="20"/>
                <w:szCs w:val="20"/>
              </w:rPr>
              <w:t>2,026</w:t>
            </w:r>
          </w:p>
        </w:tc>
        <w:tc>
          <w:tcPr>
            <w:tcW w:w="0" w:type="auto"/>
            <w:shd w:val="clear" w:color="auto" w:fill="auto"/>
            <w:vAlign w:val="center"/>
          </w:tcPr>
          <w:p w14:paraId="597CBCA2" w14:textId="77777777" w:rsidR="00341D00" w:rsidRPr="001310AB" w:rsidRDefault="00341D00" w:rsidP="001310AB">
            <w:pPr>
              <w:keepNext/>
              <w:spacing w:after="0"/>
              <w:ind w:right="400"/>
              <w:jc w:val="right"/>
              <w:rPr>
                <w:sz w:val="20"/>
                <w:szCs w:val="20"/>
              </w:rPr>
            </w:pPr>
            <w:r w:rsidRPr="001310AB">
              <w:rPr>
                <w:sz w:val="20"/>
                <w:szCs w:val="20"/>
              </w:rPr>
              <w:t>1,710</w:t>
            </w:r>
          </w:p>
        </w:tc>
        <w:tc>
          <w:tcPr>
            <w:tcW w:w="0" w:type="auto"/>
            <w:shd w:val="clear" w:color="auto" w:fill="auto"/>
            <w:vAlign w:val="center"/>
          </w:tcPr>
          <w:p w14:paraId="215D7AEE" w14:textId="77777777" w:rsidR="00341D00" w:rsidRPr="001310AB" w:rsidRDefault="00341D00" w:rsidP="001310AB">
            <w:pPr>
              <w:keepNext/>
              <w:spacing w:after="0"/>
              <w:ind w:right="400"/>
              <w:jc w:val="right"/>
              <w:rPr>
                <w:sz w:val="20"/>
                <w:szCs w:val="20"/>
              </w:rPr>
            </w:pPr>
            <w:r w:rsidRPr="001310AB">
              <w:rPr>
                <w:bCs/>
                <w:sz w:val="20"/>
                <w:szCs w:val="20"/>
              </w:rPr>
              <w:t>284</w:t>
            </w:r>
          </w:p>
        </w:tc>
        <w:tc>
          <w:tcPr>
            <w:tcW w:w="0" w:type="auto"/>
            <w:vAlign w:val="center"/>
          </w:tcPr>
          <w:p w14:paraId="1A41BB67" w14:textId="57271CAE" w:rsidR="00341D00" w:rsidRPr="001310AB" w:rsidRDefault="00D60211" w:rsidP="001310AB">
            <w:pPr>
              <w:keepNext/>
              <w:spacing w:after="0"/>
              <w:ind w:right="400"/>
              <w:jc w:val="right"/>
              <w:rPr>
                <w:bCs/>
                <w:sz w:val="20"/>
                <w:szCs w:val="20"/>
              </w:rPr>
            </w:pPr>
            <w:r w:rsidRPr="001310AB">
              <w:rPr>
                <w:bCs/>
                <w:sz w:val="20"/>
                <w:szCs w:val="20"/>
              </w:rPr>
              <w:t>545</w:t>
            </w:r>
          </w:p>
        </w:tc>
        <w:tc>
          <w:tcPr>
            <w:tcW w:w="0" w:type="auto"/>
            <w:vAlign w:val="center"/>
          </w:tcPr>
          <w:p w14:paraId="66BF2812" w14:textId="77777777" w:rsidR="00341D00" w:rsidRPr="001310AB" w:rsidRDefault="00D60211" w:rsidP="001310AB">
            <w:pPr>
              <w:keepNext/>
              <w:spacing w:after="0"/>
              <w:ind w:right="400"/>
              <w:jc w:val="right"/>
              <w:rPr>
                <w:bCs/>
                <w:sz w:val="20"/>
                <w:szCs w:val="20"/>
              </w:rPr>
            </w:pPr>
            <w:r w:rsidRPr="001310AB">
              <w:rPr>
                <w:bCs/>
                <w:sz w:val="20"/>
                <w:szCs w:val="20"/>
              </w:rPr>
              <w:t>368</w:t>
            </w:r>
          </w:p>
        </w:tc>
      </w:tr>
      <w:tr w:rsidR="00341D00" w:rsidRPr="001310AB" w14:paraId="6254F199" w14:textId="77777777" w:rsidTr="001310AB">
        <w:trPr>
          <w:trHeight w:val="580"/>
        </w:trPr>
        <w:tc>
          <w:tcPr>
            <w:tcW w:w="0" w:type="auto"/>
            <w:shd w:val="clear" w:color="auto" w:fill="auto"/>
            <w:vAlign w:val="center"/>
          </w:tcPr>
          <w:p w14:paraId="66551A4F" w14:textId="77777777" w:rsidR="00341D00" w:rsidRPr="001310AB" w:rsidRDefault="00341D00" w:rsidP="00AB2EF5">
            <w:pPr>
              <w:keepNext/>
              <w:spacing w:after="0"/>
              <w:rPr>
                <w:sz w:val="20"/>
                <w:szCs w:val="20"/>
              </w:rPr>
            </w:pPr>
            <w:r w:rsidRPr="001310AB">
              <w:rPr>
                <w:sz w:val="20"/>
                <w:szCs w:val="20"/>
              </w:rPr>
              <w:t>The allowance to maintain employees with disabilities at work</w:t>
            </w:r>
          </w:p>
        </w:tc>
        <w:tc>
          <w:tcPr>
            <w:tcW w:w="0" w:type="auto"/>
            <w:shd w:val="clear" w:color="auto" w:fill="auto"/>
            <w:vAlign w:val="center"/>
          </w:tcPr>
          <w:p w14:paraId="69DF3917" w14:textId="77777777" w:rsidR="00341D00" w:rsidRPr="001310AB" w:rsidRDefault="00341D00" w:rsidP="001310AB">
            <w:pPr>
              <w:keepNext/>
              <w:spacing w:after="0"/>
              <w:ind w:right="400"/>
              <w:jc w:val="right"/>
              <w:rPr>
                <w:sz w:val="20"/>
                <w:szCs w:val="20"/>
              </w:rPr>
            </w:pPr>
            <w:r w:rsidRPr="001310AB">
              <w:rPr>
                <w:sz w:val="20"/>
                <w:szCs w:val="20"/>
              </w:rPr>
              <w:t>453</w:t>
            </w:r>
          </w:p>
        </w:tc>
        <w:tc>
          <w:tcPr>
            <w:tcW w:w="0" w:type="auto"/>
            <w:shd w:val="clear" w:color="auto" w:fill="auto"/>
            <w:vAlign w:val="center"/>
          </w:tcPr>
          <w:p w14:paraId="339E12E1" w14:textId="77777777" w:rsidR="00341D00" w:rsidRPr="001310AB" w:rsidRDefault="00341D00" w:rsidP="001310AB">
            <w:pPr>
              <w:keepNext/>
              <w:spacing w:after="0"/>
              <w:ind w:right="400"/>
              <w:jc w:val="right"/>
              <w:rPr>
                <w:sz w:val="20"/>
                <w:szCs w:val="20"/>
              </w:rPr>
            </w:pPr>
            <w:r w:rsidRPr="001310AB">
              <w:rPr>
                <w:sz w:val="20"/>
                <w:szCs w:val="20"/>
              </w:rPr>
              <w:t>174</w:t>
            </w:r>
          </w:p>
        </w:tc>
        <w:tc>
          <w:tcPr>
            <w:tcW w:w="0" w:type="auto"/>
            <w:shd w:val="clear" w:color="auto" w:fill="auto"/>
            <w:vAlign w:val="center"/>
          </w:tcPr>
          <w:p w14:paraId="52470E50" w14:textId="77777777" w:rsidR="00341D00" w:rsidRPr="001310AB" w:rsidRDefault="00341D00" w:rsidP="001310AB">
            <w:pPr>
              <w:keepNext/>
              <w:spacing w:after="0"/>
              <w:ind w:right="400"/>
              <w:jc w:val="right"/>
              <w:rPr>
                <w:sz w:val="20"/>
                <w:szCs w:val="20"/>
              </w:rPr>
            </w:pPr>
            <w:r w:rsidRPr="001310AB">
              <w:rPr>
                <w:bCs/>
                <w:sz w:val="20"/>
                <w:szCs w:val="20"/>
              </w:rPr>
              <w:t>31</w:t>
            </w:r>
          </w:p>
        </w:tc>
        <w:tc>
          <w:tcPr>
            <w:tcW w:w="0" w:type="auto"/>
            <w:vAlign w:val="center"/>
          </w:tcPr>
          <w:p w14:paraId="0AFD0555" w14:textId="77777777" w:rsidR="00341D00" w:rsidRPr="001310AB" w:rsidRDefault="00341D00" w:rsidP="001310AB">
            <w:pPr>
              <w:keepNext/>
              <w:spacing w:after="0"/>
              <w:ind w:right="400"/>
              <w:jc w:val="right"/>
              <w:rPr>
                <w:bCs/>
                <w:sz w:val="20"/>
                <w:szCs w:val="20"/>
              </w:rPr>
            </w:pPr>
            <w:r w:rsidRPr="001310AB">
              <w:rPr>
                <w:bCs/>
                <w:sz w:val="20"/>
                <w:szCs w:val="20"/>
              </w:rPr>
              <w:t>29</w:t>
            </w:r>
          </w:p>
        </w:tc>
        <w:tc>
          <w:tcPr>
            <w:tcW w:w="0" w:type="auto"/>
            <w:vAlign w:val="center"/>
          </w:tcPr>
          <w:p w14:paraId="27C2416E" w14:textId="77777777" w:rsidR="00341D00" w:rsidRPr="001310AB" w:rsidRDefault="00D60211" w:rsidP="001310AB">
            <w:pPr>
              <w:keepNext/>
              <w:spacing w:after="0"/>
              <w:ind w:right="400"/>
              <w:jc w:val="right"/>
              <w:rPr>
                <w:bCs/>
                <w:sz w:val="20"/>
                <w:szCs w:val="20"/>
              </w:rPr>
            </w:pPr>
            <w:r w:rsidRPr="001310AB">
              <w:rPr>
                <w:bCs/>
                <w:sz w:val="20"/>
                <w:szCs w:val="20"/>
              </w:rPr>
              <w:t>28</w:t>
            </w:r>
          </w:p>
        </w:tc>
      </w:tr>
      <w:tr w:rsidR="00341D00" w:rsidRPr="001310AB" w14:paraId="32FB63D3" w14:textId="77777777" w:rsidTr="001310AB">
        <w:trPr>
          <w:trHeight w:val="580"/>
        </w:trPr>
        <w:tc>
          <w:tcPr>
            <w:tcW w:w="0" w:type="auto"/>
            <w:shd w:val="clear" w:color="auto" w:fill="auto"/>
            <w:vAlign w:val="center"/>
          </w:tcPr>
          <w:p w14:paraId="6FC57636" w14:textId="77777777" w:rsidR="00341D00" w:rsidRPr="001310AB" w:rsidRDefault="00341D00" w:rsidP="00AB2EF5">
            <w:pPr>
              <w:keepNext/>
              <w:spacing w:after="0"/>
              <w:rPr>
                <w:sz w:val="20"/>
                <w:szCs w:val="20"/>
              </w:rPr>
            </w:pPr>
            <w:r w:rsidRPr="001310AB">
              <w:rPr>
                <w:sz w:val="20"/>
                <w:szCs w:val="20"/>
              </w:rPr>
              <w:t>Self-employment allowance</w:t>
            </w:r>
          </w:p>
        </w:tc>
        <w:tc>
          <w:tcPr>
            <w:tcW w:w="0" w:type="auto"/>
            <w:shd w:val="clear" w:color="auto" w:fill="auto"/>
            <w:vAlign w:val="center"/>
          </w:tcPr>
          <w:p w14:paraId="0554EA96" w14:textId="77777777" w:rsidR="00341D00" w:rsidRPr="001310AB" w:rsidRDefault="00341D00" w:rsidP="001310AB">
            <w:pPr>
              <w:keepNext/>
              <w:spacing w:after="0"/>
              <w:ind w:right="400"/>
              <w:jc w:val="right"/>
              <w:rPr>
                <w:sz w:val="20"/>
                <w:szCs w:val="20"/>
              </w:rPr>
            </w:pPr>
            <w:r w:rsidRPr="001310AB">
              <w:rPr>
                <w:sz w:val="20"/>
                <w:szCs w:val="20"/>
              </w:rPr>
              <w:t>536</w:t>
            </w:r>
          </w:p>
        </w:tc>
        <w:tc>
          <w:tcPr>
            <w:tcW w:w="0" w:type="auto"/>
            <w:shd w:val="clear" w:color="auto" w:fill="auto"/>
            <w:vAlign w:val="center"/>
          </w:tcPr>
          <w:p w14:paraId="25B81E70" w14:textId="77777777" w:rsidR="00341D00" w:rsidRPr="001310AB" w:rsidRDefault="00341D00" w:rsidP="001310AB">
            <w:pPr>
              <w:keepNext/>
              <w:spacing w:after="0"/>
              <w:ind w:right="400"/>
              <w:jc w:val="right"/>
              <w:rPr>
                <w:sz w:val="20"/>
                <w:szCs w:val="20"/>
              </w:rPr>
            </w:pPr>
            <w:r w:rsidRPr="001310AB">
              <w:rPr>
                <w:sz w:val="20"/>
                <w:szCs w:val="20"/>
              </w:rPr>
              <w:t>296</w:t>
            </w:r>
          </w:p>
        </w:tc>
        <w:tc>
          <w:tcPr>
            <w:tcW w:w="0" w:type="auto"/>
            <w:shd w:val="clear" w:color="auto" w:fill="auto"/>
            <w:vAlign w:val="center"/>
          </w:tcPr>
          <w:p w14:paraId="23746D08" w14:textId="77777777" w:rsidR="00341D00" w:rsidRPr="001310AB" w:rsidRDefault="00341D00" w:rsidP="001310AB">
            <w:pPr>
              <w:keepNext/>
              <w:spacing w:after="0"/>
              <w:ind w:right="400"/>
              <w:jc w:val="right"/>
              <w:rPr>
                <w:sz w:val="20"/>
                <w:szCs w:val="20"/>
              </w:rPr>
            </w:pPr>
            <w:r w:rsidRPr="001310AB">
              <w:rPr>
                <w:bCs/>
                <w:sz w:val="20"/>
                <w:szCs w:val="20"/>
              </w:rPr>
              <w:t>96</w:t>
            </w:r>
          </w:p>
        </w:tc>
        <w:tc>
          <w:tcPr>
            <w:tcW w:w="0" w:type="auto"/>
            <w:vAlign w:val="center"/>
          </w:tcPr>
          <w:p w14:paraId="4487842D" w14:textId="77777777" w:rsidR="00341D00" w:rsidRPr="001310AB" w:rsidRDefault="00341D00" w:rsidP="001310AB">
            <w:pPr>
              <w:keepNext/>
              <w:spacing w:after="0"/>
              <w:ind w:right="600"/>
              <w:jc w:val="right"/>
              <w:rPr>
                <w:bCs/>
                <w:sz w:val="20"/>
                <w:szCs w:val="20"/>
              </w:rPr>
            </w:pPr>
            <w:r w:rsidRPr="001310AB">
              <w:rPr>
                <w:bCs/>
                <w:sz w:val="20"/>
                <w:szCs w:val="20"/>
              </w:rPr>
              <w:t>90</w:t>
            </w:r>
          </w:p>
        </w:tc>
        <w:tc>
          <w:tcPr>
            <w:tcW w:w="0" w:type="auto"/>
            <w:vAlign w:val="center"/>
          </w:tcPr>
          <w:p w14:paraId="1DE69C00" w14:textId="0DC937C6" w:rsidR="00341D00" w:rsidRPr="001310AB" w:rsidRDefault="005212E9" w:rsidP="001310AB">
            <w:pPr>
              <w:keepNext/>
              <w:spacing w:after="0"/>
              <w:ind w:right="400"/>
              <w:jc w:val="right"/>
              <w:rPr>
                <w:bCs/>
                <w:sz w:val="20"/>
                <w:szCs w:val="20"/>
              </w:rPr>
            </w:pPr>
            <w:r w:rsidRPr="001310AB">
              <w:rPr>
                <w:bCs/>
                <w:sz w:val="20"/>
                <w:szCs w:val="20"/>
              </w:rPr>
              <w:t>75</w:t>
            </w:r>
          </w:p>
        </w:tc>
      </w:tr>
      <w:tr w:rsidR="00341D00" w:rsidRPr="001310AB" w14:paraId="6A368D31" w14:textId="77777777" w:rsidTr="001310AB">
        <w:trPr>
          <w:trHeight w:val="580"/>
        </w:trPr>
        <w:tc>
          <w:tcPr>
            <w:tcW w:w="0" w:type="auto"/>
            <w:shd w:val="clear" w:color="auto" w:fill="auto"/>
            <w:vAlign w:val="center"/>
          </w:tcPr>
          <w:p w14:paraId="7131557D" w14:textId="77777777" w:rsidR="00341D00" w:rsidRPr="001310AB" w:rsidRDefault="00341D00" w:rsidP="00AB2EF5">
            <w:pPr>
              <w:keepNext/>
              <w:spacing w:after="0"/>
              <w:rPr>
                <w:sz w:val="20"/>
                <w:szCs w:val="20"/>
              </w:rPr>
            </w:pPr>
            <w:r w:rsidRPr="001310AB">
              <w:rPr>
                <w:sz w:val="20"/>
                <w:szCs w:val="20"/>
              </w:rPr>
              <w:t>Allowance to cover expenses related to work assistant</w:t>
            </w:r>
          </w:p>
        </w:tc>
        <w:tc>
          <w:tcPr>
            <w:tcW w:w="0" w:type="auto"/>
            <w:shd w:val="clear" w:color="auto" w:fill="auto"/>
            <w:vAlign w:val="center"/>
          </w:tcPr>
          <w:p w14:paraId="0CA99353" w14:textId="77777777" w:rsidR="00341D00" w:rsidRPr="001310AB" w:rsidRDefault="00341D00" w:rsidP="001310AB">
            <w:pPr>
              <w:keepNext/>
              <w:spacing w:after="0"/>
              <w:ind w:right="400"/>
              <w:jc w:val="right"/>
              <w:rPr>
                <w:sz w:val="20"/>
                <w:szCs w:val="20"/>
              </w:rPr>
            </w:pPr>
            <w:r w:rsidRPr="001310AB">
              <w:rPr>
                <w:sz w:val="20"/>
                <w:szCs w:val="20"/>
              </w:rPr>
              <w:t>610</w:t>
            </w:r>
          </w:p>
        </w:tc>
        <w:tc>
          <w:tcPr>
            <w:tcW w:w="0" w:type="auto"/>
            <w:shd w:val="clear" w:color="auto" w:fill="auto"/>
            <w:vAlign w:val="center"/>
          </w:tcPr>
          <w:p w14:paraId="608594D1" w14:textId="77777777" w:rsidR="00341D00" w:rsidRPr="001310AB" w:rsidRDefault="00341D00" w:rsidP="001310AB">
            <w:pPr>
              <w:keepNext/>
              <w:spacing w:after="0"/>
              <w:ind w:right="400"/>
              <w:jc w:val="right"/>
              <w:rPr>
                <w:sz w:val="20"/>
                <w:szCs w:val="20"/>
              </w:rPr>
            </w:pPr>
            <w:r w:rsidRPr="001310AB">
              <w:rPr>
                <w:sz w:val="20"/>
                <w:szCs w:val="20"/>
              </w:rPr>
              <w:t>623</w:t>
            </w:r>
          </w:p>
        </w:tc>
        <w:tc>
          <w:tcPr>
            <w:tcW w:w="0" w:type="auto"/>
            <w:shd w:val="clear" w:color="auto" w:fill="auto"/>
            <w:vAlign w:val="center"/>
          </w:tcPr>
          <w:p w14:paraId="7FAB0291" w14:textId="77777777" w:rsidR="00341D00" w:rsidRPr="001310AB" w:rsidRDefault="00341D00" w:rsidP="001310AB">
            <w:pPr>
              <w:keepNext/>
              <w:spacing w:after="0"/>
              <w:ind w:right="400"/>
              <w:jc w:val="right"/>
              <w:rPr>
                <w:sz w:val="20"/>
                <w:szCs w:val="20"/>
              </w:rPr>
            </w:pPr>
            <w:r w:rsidRPr="001310AB">
              <w:rPr>
                <w:sz w:val="20"/>
                <w:szCs w:val="20"/>
              </w:rPr>
              <w:t>585</w:t>
            </w:r>
          </w:p>
        </w:tc>
        <w:tc>
          <w:tcPr>
            <w:tcW w:w="0" w:type="auto"/>
            <w:vAlign w:val="center"/>
          </w:tcPr>
          <w:p w14:paraId="5E8E836A" w14:textId="77777777" w:rsidR="00341D00" w:rsidRPr="001310AB" w:rsidRDefault="00341D00" w:rsidP="001310AB">
            <w:pPr>
              <w:keepNext/>
              <w:spacing w:after="0"/>
              <w:ind w:right="400"/>
              <w:jc w:val="right"/>
              <w:rPr>
                <w:bCs/>
                <w:sz w:val="20"/>
                <w:szCs w:val="20"/>
              </w:rPr>
            </w:pPr>
            <w:r w:rsidRPr="001310AB">
              <w:rPr>
                <w:bCs/>
                <w:sz w:val="20"/>
                <w:szCs w:val="20"/>
              </w:rPr>
              <w:t>831</w:t>
            </w:r>
          </w:p>
        </w:tc>
        <w:tc>
          <w:tcPr>
            <w:tcW w:w="0" w:type="auto"/>
            <w:vAlign w:val="center"/>
          </w:tcPr>
          <w:p w14:paraId="1C545466" w14:textId="77777777" w:rsidR="00341D00" w:rsidRPr="001310AB" w:rsidRDefault="008501EF" w:rsidP="001310AB">
            <w:pPr>
              <w:keepNext/>
              <w:spacing w:after="0"/>
              <w:ind w:right="400"/>
              <w:jc w:val="right"/>
              <w:rPr>
                <w:bCs/>
                <w:sz w:val="20"/>
                <w:szCs w:val="20"/>
              </w:rPr>
            </w:pPr>
            <w:r w:rsidRPr="001310AB">
              <w:rPr>
                <w:bCs/>
                <w:sz w:val="20"/>
                <w:szCs w:val="20"/>
              </w:rPr>
              <w:t>990</w:t>
            </w:r>
          </w:p>
        </w:tc>
      </w:tr>
      <w:tr w:rsidR="00341D00" w:rsidRPr="001310AB" w14:paraId="7B6BD890" w14:textId="77777777" w:rsidTr="001310AB">
        <w:trPr>
          <w:trHeight w:val="1073"/>
        </w:trPr>
        <w:tc>
          <w:tcPr>
            <w:tcW w:w="0" w:type="auto"/>
            <w:shd w:val="clear" w:color="auto" w:fill="auto"/>
            <w:vAlign w:val="center"/>
          </w:tcPr>
          <w:p w14:paraId="49D37D39" w14:textId="77777777" w:rsidR="00341D00" w:rsidRPr="001310AB" w:rsidRDefault="00341D00" w:rsidP="00AB2EF5">
            <w:pPr>
              <w:keepNext/>
              <w:spacing w:after="0"/>
              <w:rPr>
                <w:sz w:val="20"/>
                <w:szCs w:val="20"/>
              </w:rPr>
            </w:pPr>
            <w:r w:rsidRPr="001310AB">
              <w:rPr>
                <w:sz w:val="20"/>
                <w:szCs w:val="20"/>
              </w:rPr>
              <w:t>The allowance to partially cover operating expenses of sheltered workshops and sheltered workplaces</w:t>
            </w:r>
          </w:p>
        </w:tc>
        <w:tc>
          <w:tcPr>
            <w:tcW w:w="0" w:type="auto"/>
            <w:shd w:val="clear" w:color="auto" w:fill="auto"/>
            <w:vAlign w:val="center"/>
          </w:tcPr>
          <w:p w14:paraId="5177C72D" w14:textId="12841588" w:rsidR="00341D00" w:rsidRPr="001310AB" w:rsidRDefault="00860986" w:rsidP="001310AB">
            <w:pPr>
              <w:keepNext/>
              <w:spacing w:after="0"/>
              <w:ind w:right="400"/>
              <w:jc w:val="right"/>
              <w:rPr>
                <w:sz w:val="20"/>
                <w:szCs w:val="20"/>
              </w:rPr>
            </w:pPr>
            <w:r w:rsidRPr="001310AB">
              <w:rPr>
                <w:sz w:val="20"/>
                <w:szCs w:val="20"/>
              </w:rPr>
              <w:t>6,013</w:t>
            </w:r>
          </w:p>
        </w:tc>
        <w:tc>
          <w:tcPr>
            <w:tcW w:w="0" w:type="auto"/>
            <w:shd w:val="clear" w:color="auto" w:fill="auto"/>
            <w:vAlign w:val="center"/>
          </w:tcPr>
          <w:p w14:paraId="7B20F085" w14:textId="703ABF78" w:rsidR="00341D00" w:rsidRPr="001310AB" w:rsidRDefault="00F62FA7" w:rsidP="001310AB">
            <w:pPr>
              <w:keepNext/>
              <w:spacing w:after="0"/>
              <w:ind w:right="400"/>
              <w:jc w:val="right"/>
              <w:rPr>
                <w:sz w:val="20"/>
                <w:szCs w:val="20"/>
              </w:rPr>
            </w:pPr>
            <w:r w:rsidRPr="001310AB">
              <w:rPr>
                <w:sz w:val="20"/>
                <w:szCs w:val="20"/>
              </w:rPr>
              <w:t>6,809</w:t>
            </w:r>
          </w:p>
        </w:tc>
        <w:tc>
          <w:tcPr>
            <w:tcW w:w="0" w:type="auto"/>
            <w:shd w:val="clear" w:color="auto" w:fill="auto"/>
            <w:vAlign w:val="center"/>
          </w:tcPr>
          <w:p w14:paraId="39B82317" w14:textId="77777777" w:rsidR="00341D00" w:rsidRPr="001310AB" w:rsidRDefault="00341D00" w:rsidP="001310AB">
            <w:pPr>
              <w:keepNext/>
              <w:spacing w:after="0"/>
              <w:ind w:right="400"/>
              <w:jc w:val="right"/>
              <w:rPr>
                <w:sz w:val="20"/>
                <w:szCs w:val="20"/>
              </w:rPr>
            </w:pPr>
            <w:r w:rsidRPr="001310AB">
              <w:rPr>
                <w:bCs/>
                <w:sz w:val="20"/>
                <w:szCs w:val="20"/>
              </w:rPr>
              <w:t>9,728</w:t>
            </w:r>
          </w:p>
        </w:tc>
        <w:tc>
          <w:tcPr>
            <w:tcW w:w="0" w:type="auto"/>
            <w:vAlign w:val="center"/>
          </w:tcPr>
          <w:p w14:paraId="6826FE19" w14:textId="77777777" w:rsidR="00341D00" w:rsidRPr="001310AB" w:rsidRDefault="00341D00" w:rsidP="001310AB">
            <w:pPr>
              <w:keepNext/>
              <w:spacing w:after="0"/>
              <w:ind w:right="400"/>
              <w:jc w:val="right"/>
              <w:rPr>
                <w:bCs/>
                <w:sz w:val="20"/>
                <w:szCs w:val="20"/>
              </w:rPr>
            </w:pPr>
            <w:r w:rsidRPr="001310AB">
              <w:rPr>
                <w:bCs/>
                <w:sz w:val="20"/>
                <w:szCs w:val="20"/>
              </w:rPr>
              <w:t>9,808</w:t>
            </w:r>
          </w:p>
        </w:tc>
        <w:tc>
          <w:tcPr>
            <w:tcW w:w="0" w:type="auto"/>
            <w:vAlign w:val="center"/>
          </w:tcPr>
          <w:p w14:paraId="3AEEEFA1" w14:textId="77777777" w:rsidR="00341D00" w:rsidRPr="001310AB" w:rsidRDefault="008501EF" w:rsidP="001310AB">
            <w:pPr>
              <w:keepNext/>
              <w:spacing w:after="0"/>
              <w:ind w:right="400"/>
              <w:jc w:val="right"/>
              <w:rPr>
                <w:bCs/>
                <w:sz w:val="20"/>
                <w:szCs w:val="20"/>
              </w:rPr>
            </w:pPr>
            <w:r w:rsidRPr="001310AB">
              <w:rPr>
                <w:bCs/>
                <w:sz w:val="20"/>
                <w:szCs w:val="20"/>
              </w:rPr>
              <w:t>9,723</w:t>
            </w:r>
          </w:p>
        </w:tc>
      </w:tr>
      <w:tr w:rsidR="00341D00" w:rsidRPr="001310AB" w14:paraId="5DF51B21" w14:textId="77777777" w:rsidTr="001310AB">
        <w:tc>
          <w:tcPr>
            <w:tcW w:w="0" w:type="auto"/>
            <w:shd w:val="clear" w:color="auto" w:fill="auto"/>
            <w:vAlign w:val="center"/>
          </w:tcPr>
          <w:p w14:paraId="73600DC9" w14:textId="77777777" w:rsidR="00341D00" w:rsidRPr="001310AB" w:rsidRDefault="00341D00" w:rsidP="00AB2EF5">
            <w:pPr>
              <w:keepNext/>
              <w:spacing w:after="0"/>
              <w:rPr>
                <w:sz w:val="20"/>
                <w:szCs w:val="20"/>
              </w:rPr>
            </w:pPr>
            <w:r w:rsidRPr="001310AB">
              <w:rPr>
                <w:sz w:val="20"/>
                <w:szCs w:val="20"/>
              </w:rPr>
              <w:t>Total*</w:t>
            </w:r>
          </w:p>
        </w:tc>
        <w:tc>
          <w:tcPr>
            <w:tcW w:w="0" w:type="auto"/>
            <w:shd w:val="clear" w:color="auto" w:fill="auto"/>
            <w:vAlign w:val="center"/>
          </w:tcPr>
          <w:p w14:paraId="46FDD36D" w14:textId="77777777" w:rsidR="00341D00" w:rsidRPr="001310AB" w:rsidRDefault="00341D00" w:rsidP="001310AB">
            <w:pPr>
              <w:keepNext/>
              <w:spacing w:after="0"/>
              <w:ind w:right="400"/>
              <w:jc w:val="right"/>
              <w:rPr>
                <w:sz w:val="20"/>
                <w:szCs w:val="20"/>
              </w:rPr>
            </w:pPr>
            <w:r w:rsidRPr="001310AB">
              <w:rPr>
                <w:sz w:val="20"/>
                <w:szCs w:val="20"/>
              </w:rPr>
              <w:t>3,625</w:t>
            </w:r>
          </w:p>
        </w:tc>
        <w:tc>
          <w:tcPr>
            <w:tcW w:w="0" w:type="auto"/>
            <w:shd w:val="clear" w:color="auto" w:fill="auto"/>
            <w:vAlign w:val="center"/>
          </w:tcPr>
          <w:p w14:paraId="12A4DCBC" w14:textId="77777777" w:rsidR="00341D00" w:rsidRPr="001310AB" w:rsidRDefault="00341D00" w:rsidP="001310AB">
            <w:pPr>
              <w:keepNext/>
              <w:spacing w:after="0"/>
              <w:ind w:right="400"/>
              <w:jc w:val="right"/>
              <w:rPr>
                <w:sz w:val="20"/>
                <w:szCs w:val="20"/>
              </w:rPr>
            </w:pPr>
            <w:r w:rsidRPr="001310AB">
              <w:rPr>
                <w:sz w:val="20"/>
                <w:szCs w:val="20"/>
              </w:rPr>
              <w:t>2,803</w:t>
            </w:r>
          </w:p>
        </w:tc>
        <w:tc>
          <w:tcPr>
            <w:tcW w:w="0" w:type="auto"/>
            <w:shd w:val="clear" w:color="auto" w:fill="auto"/>
            <w:vAlign w:val="center"/>
          </w:tcPr>
          <w:p w14:paraId="59B4CD7F" w14:textId="77777777" w:rsidR="00341D00" w:rsidRPr="001310AB" w:rsidRDefault="00341D00" w:rsidP="001310AB">
            <w:pPr>
              <w:keepNext/>
              <w:spacing w:after="0"/>
              <w:ind w:right="400"/>
              <w:jc w:val="right"/>
              <w:rPr>
                <w:sz w:val="20"/>
                <w:szCs w:val="20"/>
              </w:rPr>
            </w:pPr>
            <w:r w:rsidRPr="001310AB">
              <w:rPr>
                <w:sz w:val="20"/>
                <w:szCs w:val="20"/>
              </w:rPr>
              <w:t>991</w:t>
            </w:r>
          </w:p>
        </w:tc>
        <w:tc>
          <w:tcPr>
            <w:tcW w:w="0" w:type="auto"/>
            <w:vAlign w:val="center"/>
          </w:tcPr>
          <w:p w14:paraId="083C59A1" w14:textId="0C22B226" w:rsidR="00341D00" w:rsidRPr="001310AB" w:rsidRDefault="00341D00" w:rsidP="001310AB">
            <w:pPr>
              <w:keepNext/>
              <w:spacing w:after="0"/>
              <w:ind w:right="400"/>
              <w:jc w:val="right"/>
              <w:rPr>
                <w:bCs/>
                <w:sz w:val="20"/>
                <w:szCs w:val="20"/>
              </w:rPr>
            </w:pPr>
            <w:r w:rsidRPr="001310AB">
              <w:rPr>
                <w:bCs/>
                <w:sz w:val="20"/>
                <w:szCs w:val="20"/>
              </w:rPr>
              <w:t>1,307</w:t>
            </w:r>
          </w:p>
        </w:tc>
        <w:tc>
          <w:tcPr>
            <w:tcW w:w="0" w:type="auto"/>
            <w:vAlign w:val="center"/>
          </w:tcPr>
          <w:p w14:paraId="0E473CD3" w14:textId="77777777" w:rsidR="00341D00" w:rsidRPr="001310AB" w:rsidRDefault="00341D00" w:rsidP="001310AB">
            <w:pPr>
              <w:pStyle w:val="ListParagraph"/>
              <w:keepNext/>
              <w:spacing w:after="0"/>
              <w:jc w:val="right"/>
              <w:rPr>
                <w:bCs/>
                <w:sz w:val="20"/>
                <w:szCs w:val="20"/>
              </w:rPr>
            </w:pPr>
          </w:p>
        </w:tc>
      </w:tr>
    </w:tbl>
    <w:bookmarkEnd w:id="26"/>
    <w:p w14:paraId="1F1EAED6" w14:textId="622C51E1" w:rsidR="005144FC" w:rsidRDefault="005144FC" w:rsidP="00D73FC4">
      <w:pPr>
        <w:spacing w:after="0"/>
        <w:jc w:val="both"/>
      </w:pPr>
      <w:r w:rsidRPr="005A62BD">
        <w:rPr>
          <w:rFonts w:eastAsia="Arial"/>
          <w:i/>
          <w:iCs/>
        </w:rPr>
        <w:t>*</w:t>
      </w:r>
      <w:r w:rsidRPr="005A62BD">
        <w:t>The allowance to partially cover operating expenses of sheltered workshop sheltered workplace was not included in the calculation. The reason is that in contrast to other allowances, this is paid to the employer quarterly, so the same workplace can be included in the statistics more than once.</w:t>
      </w:r>
    </w:p>
    <w:p w14:paraId="594E1CD9" w14:textId="77777777" w:rsidR="005A62BD" w:rsidRPr="005A62BD" w:rsidRDefault="005A62BD" w:rsidP="00D73FC4">
      <w:pPr>
        <w:spacing w:after="0"/>
        <w:jc w:val="both"/>
      </w:pPr>
    </w:p>
    <w:p w14:paraId="77260628" w14:textId="77777777" w:rsidR="0041159F" w:rsidRPr="005A62BD" w:rsidRDefault="0041159F" w:rsidP="00D73FC4">
      <w:pPr>
        <w:spacing w:after="0"/>
        <w:jc w:val="both"/>
        <w:rPr>
          <w:lang w:eastAsia="sk-SK"/>
        </w:rPr>
      </w:pPr>
      <w:r w:rsidRPr="005A62BD">
        <w:rPr>
          <w:i/>
        </w:rPr>
        <w:t xml:space="preserve">Source: </w:t>
      </w:r>
      <w:proofErr w:type="spellStart"/>
      <w:r w:rsidRPr="005A62BD">
        <w:rPr>
          <w:i/>
        </w:rPr>
        <w:t>Správa</w:t>
      </w:r>
      <w:proofErr w:type="spellEnd"/>
      <w:r w:rsidRPr="005A62BD">
        <w:rPr>
          <w:i/>
        </w:rPr>
        <w:t xml:space="preserve"> o </w:t>
      </w:r>
      <w:proofErr w:type="spellStart"/>
      <w:r w:rsidRPr="005A62BD">
        <w:rPr>
          <w:i/>
        </w:rPr>
        <w:t>sociálnej</w:t>
      </w:r>
      <w:proofErr w:type="spellEnd"/>
      <w:r w:rsidRPr="005A62BD">
        <w:rPr>
          <w:i/>
        </w:rPr>
        <w:t xml:space="preserve"> </w:t>
      </w:r>
      <w:proofErr w:type="spellStart"/>
      <w:r w:rsidRPr="005A62BD">
        <w:rPr>
          <w:i/>
        </w:rPr>
        <w:t>situácii</w:t>
      </w:r>
      <w:proofErr w:type="spellEnd"/>
      <w:r w:rsidRPr="005A62BD">
        <w:rPr>
          <w:i/>
        </w:rPr>
        <w:t xml:space="preserve"> </w:t>
      </w:r>
      <w:proofErr w:type="spellStart"/>
      <w:r w:rsidRPr="005A62BD">
        <w:rPr>
          <w:i/>
        </w:rPr>
        <w:t>obyvateľstva</w:t>
      </w:r>
      <w:proofErr w:type="spellEnd"/>
      <w:r w:rsidRPr="005A62BD">
        <w:rPr>
          <w:i/>
        </w:rPr>
        <w:t xml:space="preserve"> za </w:t>
      </w:r>
      <w:proofErr w:type="spellStart"/>
      <w:r w:rsidRPr="005A62BD">
        <w:rPr>
          <w:i/>
        </w:rPr>
        <w:t>rok</w:t>
      </w:r>
      <w:proofErr w:type="spellEnd"/>
      <w:r w:rsidRPr="005A62BD">
        <w:rPr>
          <w:i/>
        </w:rPr>
        <w:t xml:space="preserve"> 2013 </w:t>
      </w:r>
      <w:r w:rsidRPr="005A62BD">
        <w:t>a</w:t>
      </w:r>
      <w:r w:rsidRPr="005A62BD">
        <w:rPr>
          <w:i/>
        </w:rPr>
        <w:t xml:space="preserve"> za </w:t>
      </w:r>
      <w:proofErr w:type="spellStart"/>
      <w:r w:rsidRPr="005A62BD">
        <w:rPr>
          <w:i/>
        </w:rPr>
        <w:t>rok</w:t>
      </w:r>
      <w:proofErr w:type="spellEnd"/>
      <w:r w:rsidRPr="005A62BD">
        <w:rPr>
          <w:i/>
        </w:rPr>
        <w:t xml:space="preserve"> 2016 [Report on the Social Situation of the Population of Slovak Republic for year 2013 and 2016]</w:t>
      </w:r>
      <w:r w:rsidRPr="005A62BD">
        <w:t xml:space="preserve"> </w:t>
      </w:r>
    </w:p>
    <w:p w14:paraId="1CDD94F2" w14:textId="77777777" w:rsidR="00AA3E46" w:rsidRDefault="00AA3E46" w:rsidP="00D73FC4">
      <w:pPr>
        <w:spacing w:after="0"/>
        <w:jc w:val="both"/>
      </w:pPr>
    </w:p>
    <w:p w14:paraId="17F75BC2" w14:textId="458A0A40" w:rsidR="00AA3E46" w:rsidRPr="001310AB" w:rsidRDefault="00AA3E46" w:rsidP="00D73FC4">
      <w:pPr>
        <w:spacing w:after="0"/>
        <w:jc w:val="both"/>
        <w:rPr>
          <w:b/>
          <w:bCs/>
          <w:i/>
          <w:iCs/>
        </w:rPr>
      </w:pPr>
      <w:r w:rsidRPr="001310AB">
        <w:rPr>
          <w:b/>
          <w:bCs/>
          <w:i/>
          <w:iCs/>
        </w:rPr>
        <w:t xml:space="preserve">Ad D: </w:t>
      </w:r>
      <w:r w:rsidR="001310AB" w:rsidRPr="001310AB">
        <w:rPr>
          <w:b/>
          <w:bCs/>
          <w:i/>
          <w:iCs/>
        </w:rPr>
        <w:t>lack of evaluation studies</w:t>
      </w:r>
    </w:p>
    <w:p w14:paraId="60EBC1E3" w14:textId="77777777" w:rsidR="006C3173" w:rsidRDefault="006C3173" w:rsidP="00D73FC4">
      <w:pPr>
        <w:spacing w:after="0"/>
        <w:jc w:val="both"/>
      </w:pPr>
    </w:p>
    <w:p w14:paraId="386B98B2" w14:textId="7E7EC8D6" w:rsidR="00F65BF1" w:rsidRDefault="00F65BF1" w:rsidP="00D73FC4">
      <w:pPr>
        <w:spacing w:after="0"/>
        <w:jc w:val="both"/>
      </w:pPr>
      <w:r>
        <w:t>In terms of the impacts of these measures</w:t>
      </w:r>
      <w:r w:rsidR="00231016">
        <w:t xml:space="preserve"> on labour market participation of PWD</w:t>
      </w:r>
      <w:r>
        <w:t xml:space="preserve">, </w:t>
      </w:r>
      <w:r w:rsidR="00231016">
        <w:t>a</w:t>
      </w:r>
      <w:r>
        <w:t xml:space="preserve"> recent study on the effectiveness of Slovak public employment services and active labour market policies under the ‘Value for Money’ project (IFP, 2016)</w:t>
      </w:r>
      <w:r>
        <w:rPr>
          <w:rStyle w:val="FootnoteReference"/>
        </w:rPr>
        <w:footnoteReference w:id="33"/>
      </w:r>
      <w:r>
        <w:t xml:space="preserve"> as the evaluation of policy measures </w:t>
      </w:r>
      <w:r w:rsidR="00231016">
        <w:t xml:space="preserve">only </w:t>
      </w:r>
      <w:r>
        <w:t>emphasised that in comparison with other countries of V4</w:t>
      </w:r>
      <w:r>
        <w:rPr>
          <w:rStyle w:val="FootnoteReference"/>
        </w:rPr>
        <w:footnoteReference w:id="34"/>
      </w:r>
      <w:r>
        <w:t xml:space="preserve"> as well as the EU, less people with disabilities participate in the </w:t>
      </w:r>
      <w:r>
        <w:lastRenderedPageBreak/>
        <w:t xml:space="preserve">labour market, and the employment rate of PWD in Slovakia is among the lowest in the EU. </w:t>
      </w:r>
      <w:r w:rsidR="00231016">
        <w:t>There are no regular or occasional studies focusing on the effectiveness and efficiency of disability specific ALMPs as they were described in the above two tables.</w:t>
      </w:r>
    </w:p>
    <w:p w14:paraId="4037C0CA" w14:textId="77777777" w:rsidR="00D73FC4" w:rsidRDefault="00D73FC4" w:rsidP="00D73FC4">
      <w:pPr>
        <w:spacing w:after="0"/>
        <w:jc w:val="both"/>
      </w:pPr>
    </w:p>
    <w:p w14:paraId="43D4691A" w14:textId="15E9EE2A" w:rsidR="005B4CA1" w:rsidRDefault="00547CE7" w:rsidP="00D73FC4">
      <w:pPr>
        <w:spacing w:after="0"/>
        <w:jc w:val="both"/>
      </w:pPr>
      <w:r>
        <w:t>When assessing the disability specific ALMPs i</w:t>
      </w:r>
      <w:r w:rsidR="00AA3E46">
        <w:t xml:space="preserve">n relation to the </w:t>
      </w:r>
      <w:r>
        <w:t xml:space="preserve">NRP, one of its </w:t>
      </w:r>
      <w:r w:rsidR="00AA3E46">
        <w:t>statement</w:t>
      </w:r>
      <w:r>
        <w:t>s</w:t>
      </w:r>
      <w:r w:rsidR="00AA3E46">
        <w:t xml:space="preserve"> </w:t>
      </w:r>
      <w:r>
        <w:t xml:space="preserve">seems particularly relevant. More specifically, the NRP points to </w:t>
      </w:r>
      <w:r w:rsidR="00AA3E46">
        <w:t>inappropriate focus of the ALMPs</w:t>
      </w:r>
      <w:r w:rsidR="00354351">
        <w:t xml:space="preserve"> on short-term rather than long-term unemployed</w:t>
      </w:r>
      <w:r>
        <w:t>.</w:t>
      </w:r>
      <w:r w:rsidR="00AA3E46">
        <w:t xml:space="preserve"> </w:t>
      </w:r>
      <w:r>
        <w:t xml:space="preserve">Similar tendency of </w:t>
      </w:r>
      <w:r w:rsidR="00354351">
        <w:t xml:space="preserve">unbalanced focus </w:t>
      </w:r>
      <w:r>
        <w:t xml:space="preserve">can also be observed in </w:t>
      </w:r>
      <w:r w:rsidR="00354351">
        <w:t xml:space="preserve">the disability specific ALMPs, although in this case, it is between technical support versus individualised counselling. </w:t>
      </w:r>
      <w:r w:rsidR="00BF3452">
        <w:t xml:space="preserve">As shown in the above two tables, </w:t>
      </w:r>
      <w:r w:rsidR="00AA3E46">
        <w:t>all the allowances defined in the Act No. 5/2004 Col. On Employment Services are related to technical equipment of a new workplace and the operating costs of existing sheltered workshops / workplaces, rather than individualised counselling, job-coaching, supported employment. Even the contribution for a work assistant can only be provided once the person starts a job. Moreover, as reported in previous years, there still has been no financial mechanism to cover the costs for services provided by agencies of supported employment which are non-public providers of employment services especially for persons with disabilities. This was also subject to criticism by the DPOs in the final report of the project “</w:t>
      </w:r>
      <w:proofErr w:type="spellStart"/>
      <w:r w:rsidR="00AA3E46">
        <w:rPr>
          <w:i/>
        </w:rPr>
        <w:t>Podpora</w:t>
      </w:r>
      <w:proofErr w:type="spellEnd"/>
      <w:r w:rsidR="00AA3E46">
        <w:rPr>
          <w:i/>
        </w:rPr>
        <w:t xml:space="preserve"> </w:t>
      </w:r>
      <w:proofErr w:type="spellStart"/>
      <w:r w:rsidR="00AA3E46">
        <w:rPr>
          <w:i/>
        </w:rPr>
        <w:t>spolupráce</w:t>
      </w:r>
      <w:proofErr w:type="spellEnd"/>
      <w:r w:rsidR="00AA3E46">
        <w:rPr>
          <w:i/>
        </w:rPr>
        <w:t xml:space="preserve"> MNO </w:t>
      </w:r>
      <w:proofErr w:type="spellStart"/>
      <w:r w:rsidR="00AA3E46">
        <w:rPr>
          <w:i/>
        </w:rPr>
        <w:t>pri</w:t>
      </w:r>
      <w:proofErr w:type="spellEnd"/>
      <w:r w:rsidR="00AA3E46">
        <w:rPr>
          <w:i/>
        </w:rPr>
        <w:t xml:space="preserve"> </w:t>
      </w:r>
      <w:proofErr w:type="spellStart"/>
      <w:r w:rsidR="00AA3E46">
        <w:rPr>
          <w:i/>
        </w:rPr>
        <w:t>účasti</w:t>
      </w:r>
      <w:proofErr w:type="spellEnd"/>
      <w:r w:rsidR="00AA3E46">
        <w:rPr>
          <w:i/>
        </w:rPr>
        <w:t xml:space="preserve"> </w:t>
      </w:r>
      <w:proofErr w:type="spellStart"/>
      <w:r w:rsidR="00AA3E46">
        <w:rPr>
          <w:i/>
        </w:rPr>
        <w:t>na</w:t>
      </w:r>
      <w:proofErr w:type="spellEnd"/>
      <w:r w:rsidR="00AA3E46">
        <w:rPr>
          <w:i/>
        </w:rPr>
        <w:t xml:space="preserve"> </w:t>
      </w:r>
      <w:proofErr w:type="spellStart"/>
      <w:r w:rsidR="00AA3E46">
        <w:rPr>
          <w:i/>
        </w:rPr>
        <w:t>implementácii</w:t>
      </w:r>
      <w:proofErr w:type="spellEnd"/>
      <w:r w:rsidR="00AA3E46">
        <w:rPr>
          <w:i/>
        </w:rPr>
        <w:t xml:space="preserve"> a </w:t>
      </w:r>
      <w:proofErr w:type="spellStart"/>
      <w:r w:rsidR="00AA3E46">
        <w:rPr>
          <w:i/>
        </w:rPr>
        <w:t>monitoringu</w:t>
      </w:r>
      <w:proofErr w:type="spellEnd"/>
      <w:r w:rsidR="00AA3E46">
        <w:rPr>
          <w:i/>
        </w:rPr>
        <w:t xml:space="preserve"> </w:t>
      </w:r>
      <w:proofErr w:type="spellStart"/>
      <w:r w:rsidR="00AA3E46">
        <w:rPr>
          <w:i/>
        </w:rPr>
        <w:t>uplatňovania</w:t>
      </w:r>
      <w:proofErr w:type="spellEnd"/>
      <w:r w:rsidR="00AA3E46">
        <w:rPr>
          <w:i/>
        </w:rPr>
        <w:t xml:space="preserve"> </w:t>
      </w:r>
      <w:proofErr w:type="spellStart"/>
      <w:r w:rsidR="00AA3E46">
        <w:rPr>
          <w:i/>
        </w:rPr>
        <w:t>Dohovoru</w:t>
      </w:r>
      <w:proofErr w:type="spellEnd"/>
      <w:r w:rsidR="00AA3E46">
        <w:rPr>
          <w:i/>
        </w:rPr>
        <w:t xml:space="preserve"> OSN o </w:t>
      </w:r>
      <w:proofErr w:type="spellStart"/>
      <w:r w:rsidR="00AA3E46">
        <w:rPr>
          <w:i/>
        </w:rPr>
        <w:t>právach</w:t>
      </w:r>
      <w:proofErr w:type="spellEnd"/>
      <w:r w:rsidR="00AA3E46">
        <w:rPr>
          <w:i/>
        </w:rPr>
        <w:t xml:space="preserve"> </w:t>
      </w:r>
      <w:proofErr w:type="spellStart"/>
      <w:r w:rsidR="00AA3E46">
        <w:rPr>
          <w:i/>
        </w:rPr>
        <w:t>osôb</w:t>
      </w:r>
      <w:proofErr w:type="spellEnd"/>
      <w:r w:rsidR="00AA3E46">
        <w:rPr>
          <w:i/>
        </w:rPr>
        <w:t xml:space="preserve"> so </w:t>
      </w:r>
      <w:proofErr w:type="spellStart"/>
      <w:r w:rsidR="00AA3E46">
        <w:rPr>
          <w:i/>
        </w:rPr>
        <w:t>zdravotným</w:t>
      </w:r>
      <w:proofErr w:type="spellEnd"/>
      <w:r w:rsidR="00AA3E46">
        <w:rPr>
          <w:i/>
        </w:rPr>
        <w:t xml:space="preserve"> </w:t>
      </w:r>
      <w:proofErr w:type="spellStart"/>
      <w:r w:rsidR="00AA3E46">
        <w:rPr>
          <w:i/>
        </w:rPr>
        <w:t>postihnutím</w:t>
      </w:r>
      <w:proofErr w:type="spellEnd"/>
      <w:r w:rsidR="00AA3E46">
        <w:rPr>
          <w:i/>
        </w:rPr>
        <w:t>” (Support of the involvement of the NGOs in the process of implementation and monitoring of the UNCRPD)</w:t>
      </w:r>
      <w:r w:rsidR="00AA3E46">
        <w:t>, which was coordinated by the Slovak Disability Council as an umbrella DPO in autumn 2015.</w:t>
      </w:r>
      <w:r w:rsidR="00AA3E46">
        <w:rPr>
          <w:rStyle w:val="FootnoteReference"/>
        </w:rPr>
        <w:footnoteReference w:id="35"/>
      </w:r>
      <w:r w:rsidR="006C3173">
        <w:t xml:space="preserve"> </w:t>
      </w:r>
      <w:r w:rsidR="00AA3E46">
        <w:t xml:space="preserve">It is expected that the action plan also addresses this issue. </w:t>
      </w:r>
      <w:r w:rsidR="005B4CA1">
        <w:t xml:space="preserve">In short, the prioritised target group for the NRP is long-term unemployed, but the response needed for this group and for PWD seem to be the same –individualised employment services and targeted training. </w:t>
      </w:r>
    </w:p>
    <w:p w14:paraId="5264D030" w14:textId="5BA4A428" w:rsidR="006A7F0A" w:rsidRDefault="00BF3452" w:rsidP="00D73FC4">
      <w:pPr>
        <w:spacing w:after="0"/>
        <w:jc w:val="both"/>
        <w:rPr>
          <w:rFonts w:asciiTheme="minorBidi" w:hAnsiTheme="minorBidi" w:cstheme="minorBidi"/>
        </w:rPr>
      </w:pPr>
      <w:r w:rsidRPr="001310AB">
        <w:rPr>
          <w:rFonts w:asciiTheme="minorBidi" w:hAnsiTheme="minorBidi" w:cstheme="minorBidi"/>
        </w:rPr>
        <w:t xml:space="preserve">The measures to support employment of PWD are also to be re-designed in the action plan with an aim to fulfil the recommendation of the UN Committee to promote the transition from sheltered workshops into the open labour market. </w:t>
      </w:r>
      <w:proofErr w:type="gramStart"/>
      <w:r w:rsidRPr="001310AB">
        <w:rPr>
          <w:rFonts w:asciiTheme="minorBidi" w:hAnsiTheme="minorBidi" w:cstheme="minorBidi"/>
        </w:rPr>
        <w:t xml:space="preserve">In </w:t>
      </w:r>
      <w:r w:rsidR="00771E0A" w:rsidRPr="001310AB">
        <w:rPr>
          <w:rFonts w:asciiTheme="minorBidi" w:hAnsiTheme="minorBidi" w:cstheme="minorBidi"/>
        </w:rPr>
        <w:t>particular, in</w:t>
      </w:r>
      <w:proofErr w:type="gramEnd"/>
      <w:r w:rsidR="00771E0A" w:rsidRPr="001310AB">
        <w:rPr>
          <w:rFonts w:asciiTheme="minorBidi" w:hAnsiTheme="minorBidi" w:cstheme="minorBidi"/>
        </w:rPr>
        <w:t xml:space="preserve"> </w:t>
      </w:r>
      <w:r w:rsidRPr="001310AB">
        <w:rPr>
          <w:rFonts w:asciiTheme="minorBidi" w:hAnsiTheme="minorBidi" w:cstheme="minorBidi"/>
        </w:rPr>
        <w:t xml:space="preserve">current settings, borderline between sheltered and open work environment in Slovakia </w:t>
      </w:r>
      <w:r w:rsidR="009D507D" w:rsidRPr="001310AB">
        <w:rPr>
          <w:rFonts w:asciiTheme="minorBidi" w:hAnsiTheme="minorBidi" w:cstheme="minorBidi"/>
        </w:rPr>
        <w:t xml:space="preserve">is blurred, and most sheltered workshops do not in fact fit into what is typically considered segregated work environment. To illustrate that, </w:t>
      </w:r>
      <w:r w:rsidR="00702535" w:rsidRPr="001310AB">
        <w:rPr>
          <w:rFonts w:asciiTheme="minorBidi" w:hAnsiTheme="minorBidi" w:cstheme="minorBidi"/>
        </w:rPr>
        <w:t>in 2016, there were 1</w:t>
      </w:r>
      <w:r w:rsidR="001310AB">
        <w:rPr>
          <w:rFonts w:asciiTheme="minorBidi" w:hAnsiTheme="minorBidi" w:cstheme="minorBidi"/>
        </w:rPr>
        <w:t>,</w:t>
      </w:r>
      <w:r w:rsidR="00702535" w:rsidRPr="001310AB">
        <w:rPr>
          <w:rFonts w:asciiTheme="minorBidi" w:hAnsiTheme="minorBidi" w:cstheme="minorBidi"/>
        </w:rPr>
        <w:t>570 sheltered workshops, of which only 14 were employing more than 20 employees with disabilities</w:t>
      </w:r>
      <w:r w:rsidR="006C3173">
        <w:rPr>
          <w:rFonts w:asciiTheme="minorBidi" w:hAnsiTheme="minorBidi" w:cstheme="minorBidi"/>
        </w:rPr>
        <w:t>.</w:t>
      </w:r>
      <w:r w:rsidR="00702535" w:rsidRPr="001310AB">
        <w:rPr>
          <w:rStyle w:val="FootnoteReference"/>
          <w:rFonts w:asciiTheme="minorBidi" w:hAnsiTheme="minorBidi" w:cstheme="minorBidi"/>
        </w:rPr>
        <w:footnoteReference w:id="36"/>
      </w:r>
      <w:r w:rsidR="006C3173">
        <w:rPr>
          <w:rFonts w:asciiTheme="minorBidi" w:hAnsiTheme="minorBidi" w:cstheme="minorBidi"/>
        </w:rPr>
        <w:t xml:space="preserve"> </w:t>
      </w:r>
      <w:r w:rsidR="009D507D" w:rsidRPr="001310AB">
        <w:rPr>
          <w:rFonts w:asciiTheme="minorBidi" w:hAnsiTheme="minorBidi" w:cstheme="minorBidi"/>
        </w:rPr>
        <w:t xml:space="preserve">Still, </w:t>
      </w:r>
      <w:proofErr w:type="gramStart"/>
      <w:r w:rsidR="009D507D" w:rsidRPr="001310AB">
        <w:rPr>
          <w:rFonts w:asciiTheme="minorBidi" w:hAnsiTheme="minorBidi" w:cstheme="minorBidi"/>
        </w:rPr>
        <w:t>in order to</w:t>
      </w:r>
      <w:proofErr w:type="gramEnd"/>
      <w:r w:rsidR="009D507D" w:rsidRPr="001310AB">
        <w:rPr>
          <w:rFonts w:asciiTheme="minorBidi" w:hAnsiTheme="minorBidi" w:cstheme="minorBidi"/>
        </w:rPr>
        <w:t xml:space="preserve"> be eligible for the support within disability specific ALMPs, </w:t>
      </w:r>
      <w:r w:rsidR="00771E0A" w:rsidRPr="001310AB">
        <w:rPr>
          <w:rFonts w:asciiTheme="minorBidi" w:hAnsiTheme="minorBidi" w:cstheme="minorBidi"/>
        </w:rPr>
        <w:t xml:space="preserve">employers have to claim for the status of sheltered workshop / sheltered workplace. </w:t>
      </w:r>
      <w:r w:rsidR="005B4CA1" w:rsidRPr="001310AB">
        <w:rPr>
          <w:rFonts w:asciiTheme="minorBidi" w:hAnsiTheme="minorBidi" w:cstheme="minorBidi"/>
        </w:rPr>
        <w:t>Therefore</w:t>
      </w:r>
      <w:r w:rsidR="006C3173">
        <w:rPr>
          <w:rFonts w:asciiTheme="minorBidi" w:hAnsiTheme="minorBidi" w:cstheme="minorBidi"/>
        </w:rPr>
        <w:t>,</w:t>
      </w:r>
      <w:r w:rsidR="005B4CA1" w:rsidRPr="001310AB">
        <w:rPr>
          <w:rFonts w:asciiTheme="minorBidi" w:hAnsiTheme="minorBidi" w:cstheme="minorBidi"/>
        </w:rPr>
        <w:t xml:space="preserve"> the action plan should specify in more detail the criteria for both work environments. It should also propose additional measures to support employment of PWD in the open labour market, with a </w:t>
      </w:r>
      <w:proofErr w:type="gramStart"/>
      <w:r w:rsidR="005B4CA1" w:rsidRPr="001310AB">
        <w:rPr>
          <w:rFonts w:asciiTheme="minorBidi" w:hAnsiTheme="minorBidi" w:cstheme="minorBidi"/>
        </w:rPr>
        <w:t>particular emphasis</w:t>
      </w:r>
      <w:proofErr w:type="gramEnd"/>
      <w:r w:rsidR="005B4CA1" w:rsidRPr="001310AB">
        <w:rPr>
          <w:rFonts w:asciiTheme="minorBidi" w:hAnsiTheme="minorBidi" w:cstheme="minorBidi"/>
        </w:rPr>
        <w:t xml:space="preserve"> on supported employment and individualised counselling. </w:t>
      </w:r>
    </w:p>
    <w:p w14:paraId="31EB6165" w14:textId="77777777" w:rsidR="00D73FC4" w:rsidRPr="005A62BD" w:rsidRDefault="00D73FC4" w:rsidP="00D73FC4">
      <w:pPr>
        <w:spacing w:after="0"/>
        <w:jc w:val="both"/>
      </w:pPr>
    </w:p>
    <w:p w14:paraId="0093A745" w14:textId="77777777" w:rsidR="0010423F" w:rsidRPr="005A62BD" w:rsidRDefault="0010423F" w:rsidP="00D73FC4">
      <w:pPr>
        <w:pStyle w:val="Heading2"/>
      </w:pPr>
      <w:bookmarkStart w:id="27" w:name="_Toc499120883"/>
      <w:r w:rsidRPr="005A62BD">
        <w:lastRenderedPageBreak/>
        <w:t>Education</w:t>
      </w:r>
      <w:bookmarkEnd w:id="27"/>
    </w:p>
    <w:p w14:paraId="3B84AFC6" w14:textId="77777777" w:rsidR="006A7F0A" w:rsidRPr="005A62BD" w:rsidRDefault="006A7F0A" w:rsidP="00D73FC4">
      <w:pPr>
        <w:spacing w:after="0"/>
        <w:jc w:val="both"/>
      </w:pPr>
    </w:p>
    <w:p w14:paraId="48E93C88" w14:textId="2E041C62" w:rsidR="00D276C2" w:rsidRDefault="00D276C2" w:rsidP="00D73FC4">
      <w:pPr>
        <w:spacing w:after="0"/>
        <w:jc w:val="both"/>
      </w:pPr>
      <w:r>
        <w:t xml:space="preserve">This part will discuss </w:t>
      </w:r>
      <w:r w:rsidR="008C04C4">
        <w:t xml:space="preserve">three </w:t>
      </w:r>
      <w:r>
        <w:t>main issues</w:t>
      </w:r>
      <w:r w:rsidR="008B7245">
        <w:t xml:space="preserve"> that are mostly reflected in NRP and UN Recommendation</w:t>
      </w:r>
      <w:r>
        <w:t>:</w:t>
      </w:r>
    </w:p>
    <w:p w14:paraId="6EC1BA62" w14:textId="77777777" w:rsidR="00D73FC4" w:rsidRDefault="00D73FC4" w:rsidP="00D73FC4">
      <w:pPr>
        <w:spacing w:after="0"/>
        <w:jc w:val="both"/>
      </w:pPr>
    </w:p>
    <w:p w14:paraId="36C40A3E" w14:textId="69A18BA4" w:rsidR="00D276C2" w:rsidRDefault="00D276C2" w:rsidP="00D73FC4">
      <w:pPr>
        <w:pStyle w:val="ListParagraph"/>
        <w:numPr>
          <w:ilvl w:val="0"/>
          <w:numId w:val="31"/>
        </w:numPr>
        <w:spacing w:after="0"/>
        <w:ind w:left="567" w:hanging="567"/>
        <w:jc w:val="both"/>
      </w:pPr>
      <w:r>
        <w:t>Inclusive education of pupils with disabilities with the help of teachers’ assistants (financing)</w:t>
      </w:r>
      <w:r w:rsidR="006C3173">
        <w:t>;</w:t>
      </w:r>
    </w:p>
    <w:p w14:paraId="751DD26E" w14:textId="75770ECE" w:rsidR="00D276C2" w:rsidRDefault="00D276C2" w:rsidP="00D73FC4">
      <w:pPr>
        <w:pStyle w:val="ListParagraph"/>
        <w:numPr>
          <w:ilvl w:val="0"/>
          <w:numId w:val="31"/>
        </w:numPr>
        <w:spacing w:after="0"/>
        <w:ind w:left="567" w:hanging="567"/>
        <w:jc w:val="both"/>
      </w:pPr>
      <w:r>
        <w:t>Pre-school capacities</w:t>
      </w:r>
      <w:r w:rsidR="006C3173">
        <w:t>;</w:t>
      </w:r>
    </w:p>
    <w:p w14:paraId="0ABCDDF6" w14:textId="737FFB2E" w:rsidR="008C04C4" w:rsidRDefault="008C04C4" w:rsidP="00D73FC4">
      <w:pPr>
        <w:pStyle w:val="ListParagraph"/>
        <w:numPr>
          <w:ilvl w:val="0"/>
          <w:numId w:val="31"/>
        </w:numPr>
        <w:spacing w:after="0"/>
        <w:ind w:left="567" w:hanging="567"/>
        <w:jc w:val="both"/>
      </w:pPr>
      <w:r>
        <w:t>The system of dual education</w:t>
      </w:r>
      <w:r w:rsidR="006C3173">
        <w:t>.</w:t>
      </w:r>
    </w:p>
    <w:p w14:paraId="7CCFFD8D" w14:textId="77777777" w:rsidR="00D276C2" w:rsidRDefault="00D276C2" w:rsidP="00D73FC4">
      <w:pPr>
        <w:spacing w:after="0"/>
        <w:ind w:left="360"/>
        <w:jc w:val="both"/>
      </w:pPr>
    </w:p>
    <w:p w14:paraId="6F886C8E" w14:textId="7B15CF2E" w:rsidR="001310AB" w:rsidRPr="001310AB" w:rsidRDefault="00BB7321" w:rsidP="00D73FC4">
      <w:pPr>
        <w:spacing w:after="0"/>
        <w:jc w:val="both"/>
        <w:rPr>
          <w:b/>
          <w:bCs/>
          <w:i/>
          <w:iCs/>
        </w:rPr>
      </w:pPr>
      <w:r w:rsidRPr="001310AB">
        <w:rPr>
          <w:b/>
          <w:bCs/>
          <w:i/>
          <w:iCs/>
        </w:rPr>
        <w:t>Ad</w:t>
      </w:r>
      <w:r w:rsidR="006C3173">
        <w:rPr>
          <w:b/>
          <w:bCs/>
          <w:i/>
          <w:iCs/>
        </w:rPr>
        <w:t xml:space="preserve"> </w:t>
      </w:r>
      <w:r w:rsidRPr="001310AB">
        <w:rPr>
          <w:b/>
          <w:bCs/>
          <w:i/>
          <w:iCs/>
        </w:rPr>
        <w:t>1</w:t>
      </w:r>
      <w:r w:rsidR="001310AB" w:rsidRPr="001310AB">
        <w:rPr>
          <w:b/>
          <w:bCs/>
          <w:i/>
          <w:iCs/>
        </w:rPr>
        <w:t>: Inclusive education</w:t>
      </w:r>
    </w:p>
    <w:p w14:paraId="543B1EB4" w14:textId="77777777" w:rsidR="006C3173" w:rsidRDefault="006C3173" w:rsidP="00D73FC4">
      <w:pPr>
        <w:spacing w:after="0"/>
        <w:jc w:val="both"/>
      </w:pPr>
    </w:p>
    <w:p w14:paraId="28539D26" w14:textId="16351DBB" w:rsidR="002F1620" w:rsidRDefault="00BB7321" w:rsidP="00D73FC4">
      <w:pPr>
        <w:spacing w:after="0"/>
        <w:jc w:val="both"/>
      </w:pPr>
      <w:r>
        <w:t>I</w:t>
      </w:r>
      <w:r w:rsidR="002F1620">
        <w:t xml:space="preserve">t should be stated that </w:t>
      </w:r>
      <w:r w:rsidR="006225FC">
        <w:t xml:space="preserve">the </w:t>
      </w:r>
      <w:r w:rsidR="002F1620">
        <w:t xml:space="preserve">NRP 2017 does not focus </w:t>
      </w:r>
      <w:r w:rsidR="007479C9">
        <w:t>explicitly</w:t>
      </w:r>
      <w:r w:rsidR="002F1620">
        <w:t xml:space="preserve"> on the</w:t>
      </w:r>
      <w:r w:rsidR="00D276C2">
        <w:t xml:space="preserve"> inclusive education of</w:t>
      </w:r>
      <w:r w:rsidR="002F1620">
        <w:t xml:space="preserve"> pupils with disabilities. Th</w:t>
      </w:r>
      <w:r w:rsidR="00D276C2">
        <w:t xml:space="preserve">is issue </w:t>
      </w:r>
      <w:r w:rsidR="00CD15CF">
        <w:t xml:space="preserve">is </w:t>
      </w:r>
      <w:r w:rsidR="001310AB">
        <w:t>addressed</w:t>
      </w:r>
      <w:r w:rsidR="002F1620">
        <w:t xml:space="preserve"> with</w:t>
      </w:r>
      <w:r w:rsidR="00CD15CF">
        <w:t xml:space="preserve"> the</w:t>
      </w:r>
      <w:r w:rsidR="002F1620">
        <w:t xml:space="preserve"> regards to the inclusion of </w:t>
      </w:r>
      <w:r w:rsidR="002F1620" w:rsidRPr="005A62BD">
        <w:t>“children and pupils with specific needs”</w:t>
      </w:r>
      <w:r w:rsidR="002F1620">
        <w:t xml:space="preserve"> and “inclusion of pupils from socially disadvantaged </w:t>
      </w:r>
      <w:r>
        <w:t>background</w:t>
      </w:r>
      <w:r w:rsidR="006C3173">
        <w:t>”</w:t>
      </w:r>
      <w:r w:rsidR="00D276C2">
        <w:t>.</w:t>
      </w:r>
    </w:p>
    <w:p w14:paraId="55F02967" w14:textId="77777777" w:rsidR="002F1620" w:rsidRDefault="002F1620" w:rsidP="00D73FC4">
      <w:pPr>
        <w:spacing w:after="0"/>
        <w:jc w:val="both"/>
      </w:pPr>
    </w:p>
    <w:p w14:paraId="6B90E1F7" w14:textId="5D6EA40F" w:rsidR="004B4104" w:rsidRDefault="002F1620" w:rsidP="00D73FC4">
      <w:pPr>
        <w:spacing w:after="0"/>
        <w:jc w:val="both"/>
      </w:pPr>
      <w:r>
        <w:t>S</w:t>
      </w:r>
      <w:r w:rsidR="00D86626">
        <w:t>till</w:t>
      </w:r>
      <w:r w:rsidR="001310AB">
        <w:t>,</w:t>
      </w:r>
      <w:r>
        <w:t xml:space="preserve"> the </w:t>
      </w:r>
      <w:r w:rsidR="00090369" w:rsidRPr="005A62BD">
        <w:t>i</w:t>
      </w:r>
      <w:r w:rsidR="004B4104" w:rsidRPr="005A62BD">
        <w:t>nclusive education</w:t>
      </w:r>
      <w:r>
        <w:t xml:space="preserve"> if pupils with disabilities</w:t>
      </w:r>
      <w:r w:rsidR="004B4104" w:rsidRPr="005A62BD">
        <w:t xml:space="preserve"> </w:t>
      </w:r>
      <w:r w:rsidR="00A7532A" w:rsidRPr="005A62BD">
        <w:t xml:space="preserve">remains </w:t>
      </w:r>
      <w:r w:rsidR="004B4104" w:rsidRPr="005A62BD">
        <w:t xml:space="preserve">the most important issue of compulsory education </w:t>
      </w:r>
      <w:r>
        <w:t xml:space="preserve">in Slovakia in </w:t>
      </w:r>
      <w:r w:rsidR="004B4104" w:rsidRPr="005A62BD">
        <w:t xml:space="preserve">2017. </w:t>
      </w:r>
    </w:p>
    <w:p w14:paraId="64FE0423" w14:textId="77777777" w:rsidR="005A62BD" w:rsidRPr="005A62BD" w:rsidRDefault="005A62BD" w:rsidP="00D73FC4">
      <w:pPr>
        <w:spacing w:after="0"/>
        <w:jc w:val="both"/>
      </w:pPr>
    </w:p>
    <w:p w14:paraId="141CAE3E" w14:textId="7C3A1715" w:rsidR="00D86626" w:rsidRDefault="00D86626" w:rsidP="00D73FC4">
      <w:pPr>
        <w:spacing w:after="0"/>
        <w:jc w:val="both"/>
      </w:pPr>
      <w:r>
        <w:t>Special issues of pupils with disabilities and their inclusion to mainstream schools are discussed in the National Disability Program.</w:t>
      </w:r>
    </w:p>
    <w:p w14:paraId="12243F73" w14:textId="77777777" w:rsidR="005554E8" w:rsidRDefault="007B0D71" w:rsidP="00D73FC4">
      <w:pPr>
        <w:spacing w:after="0"/>
        <w:jc w:val="both"/>
      </w:pPr>
      <w:r w:rsidRPr="005A62BD">
        <w:t xml:space="preserve">The support of </w:t>
      </w:r>
      <w:r w:rsidR="006C5F81" w:rsidRPr="005A62BD">
        <w:t>teacher’s assistant</w:t>
      </w:r>
      <w:r w:rsidR="00CD1892" w:rsidRPr="005A62BD">
        <w:t>s</w:t>
      </w:r>
      <w:r w:rsidR="006C5F81" w:rsidRPr="005A62BD">
        <w:t xml:space="preserve"> </w:t>
      </w:r>
      <w:r w:rsidR="00CD1892" w:rsidRPr="005A62BD">
        <w:t xml:space="preserve">and other special education </w:t>
      </w:r>
      <w:r w:rsidR="00D17360" w:rsidRPr="005A62BD">
        <w:t>professionals</w:t>
      </w:r>
      <w:r w:rsidR="00CD1892" w:rsidRPr="005A62BD">
        <w:t xml:space="preserve"> at mainstream preschools and schools </w:t>
      </w:r>
      <w:r w:rsidR="006C5F81" w:rsidRPr="005A62BD">
        <w:t xml:space="preserve">remains the most significant tool </w:t>
      </w:r>
      <w:r w:rsidR="00CD1892" w:rsidRPr="005A62BD">
        <w:t>in inclusion of</w:t>
      </w:r>
      <w:r w:rsidR="006C5F81" w:rsidRPr="005A62BD">
        <w:t xml:space="preserve"> children</w:t>
      </w:r>
      <w:r w:rsidR="00CD1892" w:rsidRPr="005A62BD">
        <w:t xml:space="preserve"> and pupils</w:t>
      </w:r>
      <w:r w:rsidR="006C5F81" w:rsidRPr="005A62BD">
        <w:t xml:space="preserve"> with disabilities</w:t>
      </w:r>
      <w:r w:rsidR="00CD1892" w:rsidRPr="005A62BD">
        <w:t>.</w:t>
      </w:r>
      <w:r w:rsidR="00CD1892" w:rsidRPr="005A62BD">
        <w:rPr>
          <w:rStyle w:val="FootnoteReference"/>
        </w:rPr>
        <w:footnoteReference w:id="37"/>
      </w:r>
      <w:r w:rsidR="006C5F81" w:rsidRPr="005A62BD">
        <w:t xml:space="preserve"> </w:t>
      </w:r>
    </w:p>
    <w:p w14:paraId="225BBD4B" w14:textId="4322EB17" w:rsidR="005554E8" w:rsidRDefault="005554E8" w:rsidP="00D73FC4">
      <w:pPr>
        <w:spacing w:after="0"/>
        <w:jc w:val="both"/>
      </w:pPr>
      <w:r>
        <w:t xml:space="preserve">Although the </w:t>
      </w:r>
      <w:r w:rsidRPr="005A62BD">
        <w:t xml:space="preserve">Ministry financially supports (via municipalities) creation of teachers’ assistant positions </w:t>
      </w:r>
      <w:r>
        <w:t>w</w:t>
      </w:r>
      <w:r w:rsidR="00281E32" w:rsidRPr="005A62BD">
        <w:t xml:space="preserve">ithin the </w:t>
      </w:r>
      <w:r w:rsidR="00281E32" w:rsidRPr="005A62BD">
        <w:rPr>
          <w:i/>
        </w:rPr>
        <w:t>measure 4.7.3</w:t>
      </w:r>
      <w:r w:rsidR="00281E32" w:rsidRPr="005A62BD">
        <w:t xml:space="preserve"> of NDP related to the </w:t>
      </w:r>
      <w:r w:rsidR="00281E32" w:rsidRPr="005A62BD">
        <w:rPr>
          <w:i/>
        </w:rPr>
        <w:t xml:space="preserve">individual support of children and pupils with disabilities in education </w:t>
      </w:r>
      <w:r>
        <w:t>the high demand for teachers</w:t>
      </w:r>
      <w:r>
        <w:rPr>
          <w:lang w:val="en-US"/>
        </w:rPr>
        <w:t xml:space="preserve">’ assistants has not been met yet. It was mainly </w:t>
      </w:r>
      <w:r w:rsidRPr="005A62BD">
        <w:t>due to the low budged which does not allow to meet the needs of all applicants</w:t>
      </w:r>
      <w:r>
        <w:t>.</w:t>
      </w:r>
    </w:p>
    <w:p w14:paraId="1CB7E5C6" w14:textId="2FDDBB91" w:rsidR="00BA4E5C" w:rsidRDefault="00D17360" w:rsidP="00D73FC4">
      <w:pPr>
        <w:spacing w:after="0"/>
        <w:jc w:val="both"/>
      </w:pPr>
      <w:r w:rsidRPr="005A62BD">
        <w:t>There were 1,728 teachers’ assistants at mainstream</w:t>
      </w:r>
      <w:r w:rsidR="00281E32" w:rsidRPr="005A62BD">
        <w:t xml:space="preserve"> primary schools</w:t>
      </w:r>
      <w:r w:rsidR="00B06060" w:rsidRPr="005A62BD">
        <w:t xml:space="preserve"> (public, private, religious)</w:t>
      </w:r>
      <w:r w:rsidR="00295482">
        <w:t xml:space="preserve"> in September 15, 2015.</w:t>
      </w:r>
      <w:r w:rsidR="00825C8B">
        <w:t xml:space="preserve"> The same number of primary school’s teachers</w:t>
      </w:r>
      <w:r w:rsidR="00825C8B">
        <w:rPr>
          <w:lang w:val="en-US"/>
        </w:rPr>
        <w:t>’ assistants was reported also in 201</w:t>
      </w:r>
      <w:r w:rsidR="00295482">
        <w:rPr>
          <w:lang w:val="en-US"/>
        </w:rPr>
        <w:t>6</w:t>
      </w:r>
      <w:r w:rsidR="00825C8B">
        <w:rPr>
          <w:lang w:val="en-US"/>
        </w:rPr>
        <w:t>.</w:t>
      </w:r>
      <w:r w:rsidR="00295482">
        <w:rPr>
          <w:lang w:val="en-US"/>
        </w:rPr>
        <w:t xml:space="preserve"> </w:t>
      </w:r>
      <w:r w:rsidR="00825C8B">
        <w:rPr>
          <w:lang w:val="en-US"/>
        </w:rPr>
        <w:t xml:space="preserve"> </w:t>
      </w:r>
      <w:r w:rsidR="00295482">
        <w:rPr>
          <w:lang w:val="en-US"/>
        </w:rPr>
        <w:t>But i</w:t>
      </w:r>
      <w:r w:rsidR="00825C8B">
        <w:rPr>
          <w:lang w:val="en-US"/>
        </w:rPr>
        <w:t>n 2017 this number increased to 1,916.</w:t>
      </w:r>
      <w:r w:rsidR="00295482">
        <w:rPr>
          <w:lang w:val="en-US"/>
        </w:rPr>
        <w:t xml:space="preserve"> Moreover, there were 116 pre-school teacher’s assistants in 2016</w:t>
      </w:r>
      <w:r w:rsidR="00BA4E5C">
        <w:rPr>
          <w:lang w:val="en-US"/>
        </w:rPr>
        <w:t>,</w:t>
      </w:r>
      <w:r w:rsidR="00295482">
        <w:rPr>
          <w:lang w:val="en-US"/>
        </w:rPr>
        <w:t xml:space="preserve"> which meant steep decrease since 2015. There were 286 pre-school teacher’s assistants in 2015. The number of pre-school assistants increased to </w:t>
      </w:r>
      <w:r w:rsidR="00295482" w:rsidRPr="00295482">
        <w:rPr>
          <w:lang w:val="en-US"/>
        </w:rPr>
        <w:t>158</w:t>
      </w:r>
      <w:r w:rsidR="00295482">
        <w:rPr>
          <w:lang w:val="en-US"/>
        </w:rPr>
        <w:t xml:space="preserve"> in 2017</w:t>
      </w:r>
      <w:r w:rsidR="00BA4E5C">
        <w:rPr>
          <w:lang w:val="en-US"/>
        </w:rPr>
        <w:t>.</w:t>
      </w:r>
      <w:r w:rsidR="00B06060" w:rsidRPr="005A62BD">
        <w:rPr>
          <w:rStyle w:val="FootnoteReference"/>
        </w:rPr>
        <w:footnoteReference w:id="38"/>
      </w:r>
      <w:r w:rsidR="00281E32" w:rsidRPr="005A62BD">
        <w:t xml:space="preserve"> </w:t>
      </w:r>
    </w:p>
    <w:p w14:paraId="168B4CD3" w14:textId="55F6AA54" w:rsidR="00782819" w:rsidRPr="005A62BD" w:rsidRDefault="00825C8B" w:rsidP="00D73FC4">
      <w:pPr>
        <w:spacing w:after="0"/>
        <w:jc w:val="both"/>
      </w:pPr>
      <w:r>
        <w:t>Th</w:t>
      </w:r>
      <w:r w:rsidR="002218C6">
        <w:t>e</w:t>
      </w:r>
      <w:r>
        <w:t>s</w:t>
      </w:r>
      <w:r w:rsidR="002218C6">
        <w:t>e</w:t>
      </w:r>
      <w:r>
        <w:t xml:space="preserve"> trend</w:t>
      </w:r>
      <w:r w:rsidR="002218C6">
        <w:t>s</w:t>
      </w:r>
      <w:r>
        <w:t xml:space="preserve"> </w:t>
      </w:r>
      <w:r w:rsidR="002218C6">
        <w:t>of</w:t>
      </w:r>
      <w:r w:rsidR="00295482">
        <w:t xml:space="preserve"> steadily</w:t>
      </w:r>
      <w:r>
        <w:t xml:space="preserve"> fulfil</w:t>
      </w:r>
      <w:r w:rsidR="002218C6">
        <w:t>ment of one</w:t>
      </w:r>
      <w:r w:rsidR="009F12E6">
        <w:t xml:space="preserve"> of the UN CRPD Committee</w:t>
      </w:r>
      <w:r w:rsidR="009F12E6">
        <w:rPr>
          <w:lang w:val="en-US"/>
        </w:rPr>
        <w:t xml:space="preserve">’s </w:t>
      </w:r>
      <w:r w:rsidR="00595813">
        <w:t>recommendations</w:t>
      </w:r>
      <w:r w:rsidR="009F12E6">
        <w:t>: “</w:t>
      </w:r>
      <w:r w:rsidR="009F12E6" w:rsidRPr="009F12E6">
        <w:t>Ensure that all children with disabilities who so require have access to personal assistance and allocate resources for this purpose</w:t>
      </w:r>
      <w:r w:rsidR="009F12E6">
        <w:t xml:space="preserve">” </w:t>
      </w:r>
      <w:r>
        <w:t xml:space="preserve">was </w:t>
      </w:r>
      <w:r w:rsidR="002218C6">
        <w:t xml:space="preserve">probably </w:t>
      </w:r>
      <w:r w:rsidR="00295482">
        <w:t xml:space="preserve">caused by the redefinition of </w:t>
      </w:r>
      <w:r w:rsidR="009F12E6">
        <w:t>f</w:t>
      </w:r>
      <w:r w:rsidR="00AC6515" w:rsidRPr="005A62BD">
        <w:t xml:space="preserve">inancing </w:t>
      </w:r>
      <w:r w:rsidR="00611857" w:rsidRPr="005A62BD">
        <w:t>the</w:t>
      </w:r>
      <w:r w:rsidR="00AC6515" w:rsidRPr="005A62BD">
        <w:t xml:space="preserve"> teacher’s assistants in § 4a of the amendment of the Act No. 597/2003 on Financing of Primary Schools, Secondary Schools and School Facilities adopted in June 2017. The Ministry of Education, Science, Research and Sport of the SR</w:t>
      </w:r>
      <w:r w:rsidR="001D7472" w:rsidRPr="005A62BD">
        <w:t xml:space="preserve"> together with the Ministry of Interior</w:t>
      </w:r>
      <w:r w:rsidR="00AC6515" w:rsidRPr="005A62BD">
        <w:t xml:space="preserve"> </w:t>
      </w:r>
      <w:r w:rsidR="001D7472" w:rsidRPr="005A62BD">
        <w:t xml:space="preserve">can allocate funds to public schools for teacher’s assistant personal expenses. </w:t>
      </w:r>
      <w:r w:rsidR="00782819" w:rsidRPr="005A62BD">
        <w:t xml:space="preserve">The funds </w:t>
      </w:r>
      <w:r w:rsidR="00782819" w:rsidRPr="005A62BD">
        <w:lastRenderedPageBreak/>
        <w:t>are allocated according to the number of pupils with disabilities at public schools, type and level of disability, having allocated funds in previous year and barriers to education (e.g. communication, orientation and adaptation problems, architectonic barriers).</w:t>
      </w:r>
      <w:r w:rsidR="005A62BD">
        <w:t xml:space="preserve"> </w:t>
      </w:r>
    </w:p>
    <w:p w14:paraId="5D06F4A3" w14:textId="77777777" w:rsidR="007F5EF0" w:rsidRPr="005A62BD" w:rsidRDefault="007F5EF0" w:rsidP="00D73FC4">
      <w:pPr>
        <w:spacing w:after="0"/>
        <w:jc w:val="both"/>
      </w:pPr>
    </w:p>
    <w:p w14:paraId="140574AF" w14:textId="65B551C9" w:rsidR="00782819" w:rsidRPr="005A62BD" w:rsidRDefault="001D7472" w:rsidP="00D73FC4">
      <w:pPr>
        <w:spacing w:after="0"/>
        <w:jc w:val="both"/>
      </w:pPr>
      <w:r w:rsidRPr="005A62BD">
        <w:t xml:space="preserve">On the other hand, according to the National Council of Persons with Disabilities the Ministry of Education should be obliged to allocate these funds to all applicants whose pupils with disabilities need assistance at schools. </w:t>
      </w:r>
      <w:r w:rsidR="008C4713" w:rsidRPr="005A62BD">
        <w:t xml:space="preserve">For </w:t>
      </w:r>
      <w:r w:rsidR="00150C0E" w:rsidRPr="005A62BD">
        <w:t xml:space="preserve">the sustainability of funding of </w:t>
      </w:r>
      <w:r w:rsidR="008C4713" w:rsidRPr="005A62BD">
        <w:t>teacher’s assistants</w:t>
      </w:r>
      <w:r w:rsidR="00090369" w:rsidRPr="005A62BD">
        <w:t>,</w:t>
      </w:r>
      <w:r w:rsidR="008C4713" w:rsidRPr="005A62BD">
        <w:t xml:space="preserve"> the Ministry of Education</w:t>
      </w:r>
      <w:r w:rsidR="008243A4" w:rsidRPr="005A62BD">
        <w:t xml:space="preserve"> </w:t>
      </w:r>
      <w:r w:rsidR="00150C0E" w:rsidRPr="005A62BD">
        <w:t xml:space="preserve">proposed </w:t>
      </w:r>
      <w:r w:rsidR="008243A4" w:rsidRPr="005A62BD">
        <w:t xml:space="preserve">in the document “The Objectification Model of Number of Professional (Non-teaching) Staff at School” to </w:t>
      </w:r>
      <w:r w:rsidR="00347C19" w:rsidRPr="005A62BD">
        <w:t xml:space="preserve">gradually </w:t>
      </w:r>
      <w:r w:rsidR="008243A4" w:rsidRPr="005A62BD">
        <w:t>raise schools</w:t>
      </w:r>
      <w:r w:rsidR="00090369" w:rsidRPr="005A62BD">
        <w:t>’</w:t>
      </w:r>
      <w:r w:rsidR="008243A4" w:rsidRPr="005A62BD">
        <w:t xml:space="preserve"> funds for teacher’s assistants’ wages so </w:t>
      </w:r>
      <w:r w:rsidR="00347C19" w:rsidRPr="005A62BD">
        <w:t xml:space="preserve">that </w:t>
      </w:r>
      <w:r w:rsidR="008243A4" w:rsidRPr="005A62BD">
        <w:t>the number of successful applicants will be close to 100%.</w:t>
      </w:r>
    </w:p>
    <w:p w14:paraId="634EB1C6" w14:textId="77777777" w:rsidR="007F5EF0" w:rsidRPr="005A62BD" w:rsidRDefault="007F5EF0" w:rsidP="00D73FC4">
      <w:pPr>
        <w:spacing w:after="0"/>
        <w:jc w:val="both"/>
      </w:pPr>
    </w:p>
    <w:p w14:paraId="3D698709" w14:textId="2D3F1A18" w:rsidR="00782819" w:rsidRPr="005A62BD" w:rsidRDefault="00782819" w:rsidP="00D73FC4">
      <w:pPr>
        <w:spacing w:after="0"/>
        <w:jc w:val="both"/>
      </w:pPr>
      <w:r w:rsidRPr="005A62BD">
        <w:t xml:space="preserve">Moreover, the National </w:t>
      </w:r>
      <w:r w:rsidR="008D073E" w:rsidRPr="005A62BD">
        <w:t xml:space="preserve">Disability </w:t>
      </w:r>
      <w:r w:rsidRPr="005A62BD">
        <w:t xml:space="preserve">Council suggested </w:t>
      </w:r>
      <w:r w:rsidR="008D073E" w:rsidRPr="005A62BD">
        <w:t xml:space="preserve">to </w:t>
      </w:r>
      <w:r w:rsidR="00281E32" w:rsidRPr="005A62BD">
        <w:t xml:space="preserve">the Ministry to </w:t>
      </w:r>
      <w:r w:rsidR="006A5B88" w:rsidRPr="005A62BD">
        <w:t xml:space="preserve">set out </w:t>
      </w:r>
      <w:r w:rsidR="00281E32" w:rsidRPr="005A62BD">
        <w:t xml:space="preserve">clear rules for teacher’s assistant’s duties, including his/her care of pupil with disability personal needs </w:t>
      </w:r>
      <w:r w:rsidR="006A5B88" w:rsidRPr="005A62BD">
        <w:t xml:space="preserve">in </w:t>
      </w:r>
      <w:r w:rsidR="00281E32" w:rsidRPr="005A62BD">
        <w:t>accord</w:t>
      </w:r>
      <w:r w:rsidR="006A5B88" w:rsidRPr="005A62BD">
        <w:t>ance</w:t>
      </w:r>
      <w:r w:rsidR="00281E32" w:rsidRPr="005A62BD">
        <w:t xml:space="preserve"> </w:t>
      </w:r>
      <w:r w:rsidR="006A5B88" w:rsidRPr="005A62BD">
        <w:t xml:space="preserve">with </w:t>
      </w:r>
      <w:r w:rsidR="00281E32" w:rsidRPr="005A62BD">
        <w:t>the disability during lessons.</w:t>
      </w:r>
      <w:r w:rsidR="00C4343A" w:rsidRPr="005A62BD">
        <w:t xml:space="preserve"> This suggestion was partially accepted. The Ministry sets these rules in the methodical instruction.</w:t>
      </w:r>
      <w:r w:rsidR="00E473CB" w:rsidRPr="005A62BD">
        <w:rPr>
          <w:rStyle w:val="FootnoteReference"/>
        </w:rPr>
        <w:footnoteReference w:id="39"/>
      </w:r>
    </w:p>
    <w:p w14:paraId="378D5A1E" w14:textId="7BFF94C1" w:rsidR="00090369" w:rsidRPr="005A62BD" w:rsidRDefault="00090369" w:rsidP="00D73FC4">
      <w:pPr>
        <w:spacing w:after="0"/>
        <w:jc w:val="both"/>
      </w:pPr>
    </w:p>
    <w:p w14:paraId="4EA3955E" w14:textId="780F8A7F" w:rsidR="001310AB" w:rsidRPr="001310AB" w:rsidRDefault="00BB7321" w:rsidP="00D73FC4">
      <w:pPr>
        <w:spacing w:after="0"/>
        <w:jc w:val="both"/>
        <w:rPr>
          <w:b/>
          <w:bCs/>
          <w:i/>
          <w:iCs/>
        </w:rPr>
      </w:pPr>
      <w:r w:rsidRPr="001310AB">
        <w:rPr>
          <w:b/>
          <w:bCs/>
          <w:i/>
          <w:iCs/>
        </w:rPr>
        <w:t>Ad 2</w:t>
      </w:r>
      <w:r w:rsidR="001310AB" w:rsidRPr="001310AB">
        <w:rPr>
          <w:b/>
          <w:bCs/>
          <w:i/>
          <w:iCs/>
        </w:rPr>
        <w:t>: Pre-school capacities</w:t>
      </w:r>
      <w:r w:rsidR="00D17360" w:rsidRPr="001310AB">
        <w:rPr>
          <w:b/>
          <w:bCs/>
          <w:i/>
          <w:iCs/>
        </w:rPr>
        <w:t xml:space="preserve"> </w:t>
      </w:r>
    </w:p>
    <w:p w14:paraId="4C35B66E" w14:textId="77777777" w:rsidR="006C3173" w:rsidRDefault="006C3173" w:rsidP="00D73FC4">
      <w:pPr>
        <w:spacing w:after="0"/>
        <w:jc w:val="both"/>
      </w:pPr>
    </w:p>
    <w:p w14:paraId="774EB27E" w14:textId="17B628BE" w:rsidR="00090369" w:rsidRDefault="00BB7321" w:rsidP="00D73FC4">
      <w:pPr>
        <w:spacing w:after="0"/>
        <w:jc w:val="both"/>
      </w:pPr>
      <w:r>
        <w:t>A</w:t>
      </w:r>
      <w:r w:rsidR="00D276C2">
        <w:t xml:space="preserve">ccording to the NRP 2017 the </w:t>
      </w:r>
      <w:r w:rsidR="00090369" w:rsidRPr="005A62BD">
        <w:t>preschool capacities continues to be an issue</w:t>
      </w:r>
      <w:r w:rsidR="00D276C2">
        <w:t xml:space="preserve"> in mainstream pre-school education</w:t>
      </w:r>
      <w:r w:rsidR="006225FC">
        <w:t xml:space="preserve"> but again, without any specification to children with disabilities</w:t>
      </w:r>
      <w:r w:rsidR="00D17360" w:rsidRPr="005A62BD">
        <w:t>. T</w:t>
      </w:r>
      <w:r w:rsidR="00090369" w:rsidRPr="005A62BD">
        <w:t>he</w:t>
      </w:r>
      <w:r w:rsidR="006225FC">
        <w:t xml:space="preserve"> overall</w:t>
      </w:r>
      <w:r w:rsidR="00090369" w:rsidRPr="005A62BD">
        <w:t xml:space="preserve"> participation in early childhood education and care still </w:t>
      </w:r>
      <w:proofErr w:type="gramStart"/>
      <w:r w:rsidR="00090369" w:rsidRPr="005A62BD">
        <w:t>lags behind</w:t>
      </w:r>
      <w:proofErr w:type="gramEnd"/>
      <w:r w:rsidR="00090369" w:rsidRPr="005A62BD">
        <w:t xml:space="preserve"> the EU average. The goal is to reach a 95% participation rate of </w:t>
      </w:r>
      <w:r w:rsidR="006C3173" w:rsidRPr="005A62BD">
        <w:t>4-5-year-olds</w:t>
      </w:r>
      <w:r w:rsidR="00090369" w:rsidRPr="005A62BD">
        <w:t xml:space="preserve"> in pre-school education by 2020.</w:t>
      </w:r>
      <w:r w:rsidR="00090369" w:rsidRPr="005A62BD">
        <w:rPr>
          <w:vertAlign w:val="superscript"/>
        </w:rPr>
        <w:footnoteReference w:id="40"/>
      </w:r>
      <w:r w:rsidR="00090369" w:rsidRPr="005A62BD">
        <w:t xml:space="preserve"> </w:t>
      </w:r>
    </w:p>
    <w:p w14:paraId="19667B66" w14:textId="46F9FEC2" w:rsidR="000867B5" w:rsidRDefault="000867B5" w:rsidP="00D73FC4">
      <w:pPr>
        <w:spacing w:after="0"/>
        <w:jc w:val="both"/>
        <w:rPr>
          <w:shd w:val="clear" w:color="auto" w:fill="FFC000"/>
        </w:rPr>
      </w:pPr>
      <w:r>
        <w:t xml:space="preserve">But </w:t>
      </w:r>
      <w:r w:rsidRPr="005A62BD">
        <w:t xml:space="preserve">the number of unsuccessful </w:t>
      </w:r>
      <w:r>
        <w:t xml:space="preserve">preschool </w:t>
      </w:r>
      <w:r w:rsidRPr="005A62BD">
        <w:t xml:space="preserve">applicants increased from 1,679 to </w:t>
      </w:r>
      <w:r w:rsidRPr="005A62BD">
        <w:rPr>
          <w:rFonts w:eastAsia="Times New Roman"/>
          <w:lang w:eastAsia="sk-SK"/>
        </w:rPr>
        <w:t>13,482 with</w:t>
      </w:r>
      <w:r>
        <w:rPr>
          <w:rFonts w:eastAsia="Times New Roman"/>
          <w:lang w:eastAsia="sk-SK"/>
        </w:rPr>
        <w:t xml:space="preserve"> slight</w:t>
      </w:r>
      <w:r w:rsidRPr="005A62BD">
        <w:rPr>
          <w:rFonts w:eastAsia="Times New Roman"/>
          <w:lang w:eastAsia="sk-SK"/>
        </w:rPr>
        <w:t xml:space="preserve"> the decline to 12,486 in 2016</w:t>
      </w:r>
      <w:r>
        <w:rPr>
          <w:rFonts w:eastAsia="Times New Roman"/>
          <w:lang w:eastAsia="sk-SK"/>
        </w:rPr>
        <w:t xml:space="preserve"> in the period of </w:t>
      </w:r>
      <w:r w:rsidRPr="005A62BD">
        <w:t>2004-2015</w:t>
      </w:r>
      <w:r w:rsidRPr="005A62BD">
        <w:rPr>
          <w:rFonts w:eastAsia="Times New Roman"/>
          <w:lang w:eastAsia="sk-SK"/>
        </w:rPr>
        <w:t>.</w:t>
      </w:r>
      <w:r w:rsidRPr="005A62BD">
        <w:t xml:space="preserve"> The published data do not show how many applications for admission of children with disabilities pre-schools receive, what number they reject and for what reasons.</w:t>
      </w:r>
      <w:r w:rsidRPr="005A62BD">
        <w:rPr>
          <w:shd w:val="clear" w:color="auto" w:fill="FFC000"/>
        </w:rPr>
        <w:t xml:space="preserve"> </w:t>
      </w:r>
    </w:p>
    <w:p w14:paraId="3E9C55A1" w14:textId="77777777" w:rsidR="009802DF" w:rsidRDefault="009802DF" w:rsidP="00D73FC4">
      <w:pPr>
        <w:spacing w:after="0"/>
        <w:jc w:val="both"/>
      </w:pPr>
    </w:p>
    <w:p w14:paraId="2053F6A2" w14:textId="75C3FA64" w:rsidR="00242DE3" w:rsidRDefault="00242DE3" w:rsidP="00D73FC4">
      <w:pPr>
        <w:spacing w:after="0"/>
        <w:jc w:val="both"/>
      </w:pPr>
      <w:r w:rsidRPr="00242DE3">
        <w:t xml:space="preserve">With regards to the UN CRPD Committee </w:t>
      </w:r>
      <w:r w:rsidR="00595813">
        <w:t xml:space="preserve">recommendation </w:t>
      </w:r>
      <w:r w:rsidRPr="00242DE3">
        <w:t>“Ensure available, accessible and inclusive preschool education for all children with disabilities”,</w:t>
      </w:r>
      <w:r>
        <w:t xml:space="preserve"> </w:t>
      </w:r>
      <w:r w:rsidR="002218C6">
        <w:t xml:space="preserve">lack of pre-school capacities </w:t>
      </w:r>
      <w:r w:rsidR="006C3173">
        <w:t>is</w:t>
      </w:r>
      <w:r w:rsidR="002218C6">
        <w:t xml:space="preserve"> one of the reasons of low attendance of children with disabilities in mainstream preschools. </w:t>
      </w:r>
      <w:r w:rsidR="00BA4E5C">
        <w:t xml:space="preserve">According to the Statistical </w:t>
      </w:r>
      <w:r w:rsidR="005E364B">
        <w:t>Y</w:t>
      </w:r>
      <w:r w:rsidR="00B14503">
        <w:t>earbook</w:t>
      </w:r>
      <w:r w:rsidR="006C3173">
        <w:t>,</w:t>
      </w:r>
      <w:r w:rsidR="00B14503">
        <w:rPr>
          <w:rStyle w:val="FootnoteReference"/>
        </w:rPr>
        <w:footnoteReference w:id="41"/>
      </w:r>
      <w:r w:rsidR="00BA4E5C">
        <w:t xml:space="preserve"> there were 496 children with disabilities attending mainstream pre-</w:t>
      </w:r>
      <w:r w:rsidR="00B14503">
        <w:t>primary education in September 2016</w:t>
      </w:r>
      <w:r w:rsidR="00BA4E5C">
        <w:t>.</w:t>
      </w:r>
      <w:r w:rsidR="00B14503">
        <w:t xml:space="preserve"> Compared to 2015 it was decrease in 96 children. </w:t>
      </w:r>
      <w:r w:rsidR="00B758BB">
        <w:t>In 2017 there</w:t>
      </w:r>
      <w:r w:rsidR="006C3173">
        <w:t>,</w:t>
      </w:r>
      <w:r w:rsidR="00B758BB">
        <w:t xml:space="preserve"> </w:t>
      </w:r>
      <w:r w:rsidR="00005808">
        <w:t>the number from 2016 increased to 550 children</w:t>
      </w:r>
      <w:r w:rsidR="001F4D58">
        <w:t>. On the other hand</w:t>
      </w:r>
      <w:r w:rsidR="006C3173">
        <w:t>,</w:t>
      </w:r>
      <w:r w:rsidR="001F4D58">
        <w:t xml:space="preserve"> the number of children in special pre-schools has doubled in 10 years since 2006 to 1,416 children. </w:t>
      </w:r>
    </w:p>
    <w:p w14:paraId="060DE8D2" w14:textId="2750EB00" w:rsidR="001F4D58" w:rsidRPr="005A62BD" w:rsidRDefault="001F4D58" w:rsidP="00D73FC4">
      <w:pPr>
        <w:spacing w:after="0"/>
        <w:jc w:val="both"/>
      </w:pPr>
      <w:r>
        <w:t xml:space="preserve">Parents prefer special preschools mainly due to their better readiness for children with various specific needs. </w:t>
      </w:r>
    </w:p>
    <w:p w14:paraId="15104AA4" w14:textId="1DA55A80" w:rsidR="00D276C2" w:rsidRDefault="00D276C2" w:rsidP="00D73FC4">
      <w:pPr>
        <w:spacing w:after="0"/>
        <w:jc w:val="both"/>
      </w:pPr>
    </w:p>
    <w:p w14:paraId="212282B0" w14:textId="56B2B754" w:rsidR="00090369" w:rsidRPr="005A62BD" w:rsidRDefault="000867B5" w:rsidP="00D73FC4">
      <w:pPr>
        <w:spacing w:after="0"/>
        <w:jc w:val="both"/>
      </w:pPr>
      <w:r>
        <w:t xml:space="preserve">Other </w:t>
      </w:r>
      <w:r w:rsidR="00AE395C">
        <w:t xml:space="preserve">barriers in inclusion </w:t>
      </w:r>
      <w:r>
        <w:t>mainstream preschool</w:t>
      </w:r>
      <w:r w:rsidR="00AE395C">
        <w:t>s</w:t>
      </w:r>
      <w:r>
        <w:t xml:space="preserve"> are</w:t>
      </w:r>
      <w:r w:rsidR="00D276C2">
        <w:t xml:space="preserve"> the lack of teacher’s assistants in preschools and lack of teachers trained in the issues of pupils with disabilities inclusive education.</w:t>
      </w:r>
      <w:r w:rsidR="00AE395C">
        <w:t xml:space="preserve"> </w:t>
      </w:r>
    </w:p>
    <w:p w14:paraId="1529036B" w14:textId="77777777" w:rsidR="00090369" w:rsidRPr="005A62BD" w:rsidRDefault="00090369" w:rsidP="00D73FC4">
      <w:pPr>
        <w:spacing w:after="0"/>
        <w:jc w:val="both"/>
      </w:pPr>
    </w:p>
    <w:p w14:paraId="1EC9CC60" w14:textId="3E557B64" w:rsidR="00090369" w:rsidRPr="005A62BD" w:rsidRDefault="00AE395C" w:rsidP="00D73FC4">
      <w:pPr>
        <w:spacing w:after="0"/>
        <w:jc w:val="both"/>
      </w:pPr>
      <w:r>
        <w:t>A slight improvement i</w:t>
      </w:r>
      <w:r w:rsidR="00090369" w:rsidRPr="005A62BD">
        <w:t xml:space="preserve">n relation to the inclusion </w:t>
      </w:r>
      <w:r>
        <w:t xml:space="preserve">support </w:t>
      </w:r>
      <w:r w:rsidR="00090369" w:rsidRPr="005A62BD">
        <w:t xml:space="preserve">(at pre-primary level) </w:t>
      </w:r>
      <w:r>
        <w:t>has been made</w:t>
      </w:r>
      <w:r w:rsidR="00090369" w:rsidRPr="005A62BD">
        <w:t xml:space="preserve"> within the new </w:t>
      </w:r>
      <w:bookmarkStart w:id="28" w:name="OLE_LINK11"/>
      <w:bookmarkStart w:id="29" w:name="OLE_LINK12"/>
      <w:r w:rsidR="00090369" w:rsidRPr="005A62BD">
        <w:t xml:space="preserve">State Educational Program for children with disabilities </w:t>
      </w:r>
      <w:bookmarkEnd w:id="28"/>
      <w:bookmarkEnd w:id="29"/>
      <w:r w:rsidR="00090369" w:rsidRPr="005A62BD">
        <w:t xml:space="preserve">at pre-primary education. It was prepared by the </w:t>
      </w:r>
      <w:hyperlink r:id="rId33" w:history="1">
        <w:r w:rsidR="00090369" w:rsidRPr="005A62BD">
          <w:t>National Institute for Education</w:t>
        </w:r>
      </w:hyperlink>
      <w:r w:rsidR="00090369" w:rsidRPr="005A62BD">
        <w:t xml:space="preserve"> </w:t>
      </w:r>
      <w:r w:rsidR="001542A0" w:rsidRPr="005A62BD">
        <w:t xml:space="preserve">in </w:t>
      </w:r>
      <w:r w:rsidR="00090369" w:rsidRPr="005A62BD">
        <w:t xml:space="preserve">cooperation of special education experts and released on May 2017 by the Ministry of Education, Science and Sport. </w:t>
      </w:r>
      <w:r w:rsidR="00AE1BE5" w:rsidRPr="005A62BD">
        <w:t xml:space="preserve">This disability-specific program has been based on general </w:t>
      </w:r>
      <w:r w:rsidR="00090369" w:rsidRPr="005A62BD">
        <w:t xml:space="preserve">State Educational Program for pre-primary education </w:t>
      </w:r>
      <w:r w:rsidR="005B4102" w:rsidRPr="005A62BD">
        <w:t>which c</w:t>
      </w:r>
      <w:r w:rsidR="00191ADB" w:rsidRPr="005A62BD">
        <w:t>a</w:t>
      </w:r>
      <w:r w:rsidR="005B4102" w:rsidRPr="005A62BD">
        <w:t xml:space="preserve">me into force </w:t>
      </w:r>
      <w:r w:rsidR="00191ADB" w:rsidRPr="005A62BD">
        <w:t xml:space="preserve">in </w:t>
      </w:r>
      <w:r w:rsidR="00090369" w:rsidRPr="005A62BD">
        <w:t>September 2016</w:t>
      </w:r>
      <w:r w:rsidR="006C3173">
        <w:t>.</w:t>
      </w:r>
      <w:r w:rsidR="00090369" w:rsidRPr="005A62BD">
        <w:rPr>
          <w:rStyle w:val="FootnoteReference"/>
        </w:rPr>
        <w:footnoteReference w:id="42"/>
      </w:r>
      <w:r w:rsidR="00090369" w:rsidRPr="005A62BD">
        <w:t xml:space="preserve"> </w:t>
      </w:r>
      <w:r w:rsidR="001542A0" w:rsidRPr="005A62BD">
        <w:t xml:space="preserve">The State Educational Program for children with disabilities </w:t>
      </w:r>
      <w:r w:rsidR="00090369" w:rsidRPr="005A62BD">
        <w:t>specifies the educational process of children with regards to various types of disabilities at special preschools, special classes at mainstream preschools and in individual integration at mainstream preschools</w:t>
      </w:r>
      <w:r w:rsidR="001F0365">
        <w:t>.</w:t>
      </w:r>
      <w:r w:rsidR="00090369" w:rsidRPr="005A62BD">
        <w:rPr>
          <w:rStyle w:val="FootnoteReference"/>
        </w:rPr>
        <w:footnoteReference w:id="43"/>
      </w:r>
      <w:r w:rsidR="00090369" w:rsidRPr="005A62BD">
        <w:t xml:space="preserve"> </w:t>
      </w:r>
    </w:p>
    <w:p w14:paraId="3F9B6653" w14:textId="77777777" w:rsidR="003F359E" w:rsidRPr="005A62BD" w:rsidRDefault="003F359E" w:rsidP="00D73FC4">
      <w:pPr>
        <w:spacing w:after="0"/>
        <w:jc w:val="both"/>
      </w:pPr>
    </w:p>
    <w:p w14:paraId="3EB2527F" w14:textId="42F1E935" w:rsidR="00090369" w:rsidRPr="005A62BD" w:rsidRDefault="00AE395C" w:rsidP="00D73FC4">
      <w:pPr>
        <w:spacing w:after="0"/>
        <w:jc w:val="both"/>
      </w:pPr>
      <w:r>
        <w:t xml:space="preserve">This new Programme met with lots of criticism among school professionals. </w:t>
      </w:r>
      <w:r w:rsidR="003F359E" w:rsidRPr="005A62BD">
        <w:t>T</w:t>
      </w:r>
      <w:r w:rsidR="00090369" w:rsidRPr="005A62BD">
        <w:t xml:space="preserve">he Slovak Chamber of Teachers in cooperation with other teachers’ professional organisations and Platform of Families of Children with Disabilities criticized the content of this Programme: its strict settings do not help inclusion and create barriers in mainstream preschool accessibility which can result </w:t>
      </w:r>
      <w:r w:rsidR="0045121C" w:rsidRPr="005A62BD">
        <w:t xml:space="preserve">in </w:t>
      </w:r>
      <w:r w:rsidR="00090369" w:rsidRPr="005A62BD">
        <w:t xml:space="preserve">segregation of children with disabilities. In fact, many mainstream preschools do not have capacities to </w:t>
      </w:r>
      <w:r w:rsidR="00F3483D" w:rsidRPr="005A62BD">
        <w:t xml:space="preserve">create </w:t>
      </w:r>
      <w:r w:rsidR="00090369" w:rsidRPr="005A62BD">
        <w:t xml:space="preserve">inclusive </w:t>
      </w:r>
      <w:r w:rsidR="00F3483D" w:rsidRPr="005A62BD">
        <w:t xml:space="preserve">environment </w:t>
      </w:r>
      <w:r w:rsidR="00090369" w:rsidRPr="005A62BD">
        <w:t xml:space="preserve">for education of children with various types of disabilities </w:t>
      </w:r>
      <w:r w:rsidR="00F3483D" w:rsidRPr="005A62BD">
        <w:t xml:space="preserve">in line with all </w:t>
      </w:r>
      <w:r w:rsidR="00090369" w:rsidRPr="005A62BD">
        <w:t>requirements of this State Educational Programme for Children with Disabilities.</w:t>
      </w:r>
      <w:r w:rsidR="00090369" w:rsidRPr="005A62BD">
        <w:rPr>
          <w:rStyle w:val="FootnoteReference"/>
        </w:rPr>
        <w:footnoteReference w:id="44"/>
      </w:r>
      <w:r w:rsidR="00090369" w:rsidRPr="005A62BD">
        <w:t xml:space="preserve"> </w:t>
      </w:r>
      <w:r w:rsidR="00CA6B70" w:rsidRPr="005A62BD">
        <w:t xml:space="preserve">To be allowed to educate a child with disabilities, the pre-school facilities now have to employ </w:t>
      </w:r>
      <w:r w:rsidR="00090369" w:rsidRPr="005A62BD">
        <w:t xml:space="preserve">teachers’ assistants </w:t>
      </w:r>
      <w:r w:rsidR="00CA6B70" w:rsidRPr="005A62BD">
        <w:t xml:space="preserve">as well as other specialists in relation to the type of disability of the child, </w:t>
      </w:r>
      <w:r w:rsidR="00090369" w:rsidRPr="005A62BD">
        <w:t>and teachers’ education in disability issues</w:t>
      </w:r>
      <w:r w:rsidR="00CA6B70" w:rsidRPr="005A62BD">
        <w:t xml:space="preserve"> should be ensured as well</w:t>
      </w:r>
      <w:r w:rsidR="00F3483D" w:rsidRPr="005A62BD">
        <w:t>.</w:t>
      </w:r>
      <w:r w:rsidR="00AC501D" w:rsidRPr="005A62BD">
        <w:t xml:space="preserve"> </w:t>
      </w:r>
    </w:p>
    <w:p w14:paraId="12906C79" w14:textId="5A65519F" w:rsidR="00D17360" w:rsidRPr="005A62BD" w:rsidRDefault="00D17360" w:rsidP="00D73FC4">
      <w:pPr>
        <w:spacing w:after="0"/>
        <w:jc w:val="both"/>
      </w:pPr>
    </w:p>
    <w:p w14:paraId="30A8B395" w14:textId="0891F027" w:rsidR="001310AB" w:rsidRPr="001310AB" w:rsidRDefault="00F823BE" w:rsidP="00D73FC4">
      <w:pPr>
        <w:spacing w:after="0"/>
        <w:jc w:val="both"/>
        <w:rPr>
          <w:b/>
          <w:bCs/>
          <w:i/>
          <w:iCs/>
        </w:rPr>
      </w:pPr>
      <w:r w:rsidRPr="001310AB">
        <w:rPr>
          <w:b/>
          <w:bCs/>
          <w:i/>
          <w:iCs/>
        </w:rPr>
        <w:t>Ad 3</w:t>
      </w:r>
      <w:r w:rsidR="001310AB" w:rsidRPr="001310AB">
        <w:rPr>
          <w:b/>
          <w:bCs/>
          <w:i/>
          <w:iCs/>
        </w:rPr>
        <w:t>: The system of dual education</w:t>
      </w:r>
    </w:p>
    <w:p w14:paraId="19243787" w14:textId="77777777" w:rsidR="006C3173" w:rsidRDefault="006C3173" w:rsidP="00D73FC4">
      <w:pPr>
        <w:spacing w:after="0"/>
        <w:jc w:val="both"/>
      </w:pPr>
    </w:p>
    <w:p w14:paraId="2B776E2A" w14:textId="1D72E3FA" w:rsidR="00D17360" w:rsidRPr="005A62BD" w:rsidRDefault="00F823BE" w:rsidP="00D73FC4">
      <w:pPr>
        <w:spacing w:after="0"/>
        <w:jc w:val="both"/>
      </w:pPr>
      <w:r>
        <w:t>A</w:t>
      </w:r>
      <w:r w:rsidR="00D22126">
        <w:t>ccording to the</w:t>
      </w:r>
      <w:r w:rsidR="008C04C4">
        <w:t xml:space="preserve"> NRP 2017</w:t>
      </w:r>
      <w:r w:rsidR="00D22126">
        <w:t xml:space="preserve"> only 1</w:t>
      </w:r>
      <w:r w:rsidR="00D22126">
        <w:rPr>
          <w:lang w:val="sk-SK"/>
        </w:rPr>
        <w:t>% of all secondary vocational students joined the</w:t>
      </w:r>
      <w:r w:rsidR="00D17360" w:rsidRPr="005A62BD">
        <w:t xml:space="preserve"> system of dual education</w:t>
      </w:r>
      <w:r w:rsidR="00D22126">
        <w:t xml:space="preserve">. In NRP 2017 it </w:t>
      </w:r>
      <w:proofErr w:type="gramStart"/>
      <w:r w:rsidR="00D22126">
        <w:t>still</w:t>
      </w:r>
      <w:r w:rsidR="00D17360" w:rsidRPr="005A62BD">
        <w:t xml:space="preserve"> continues</w:t>
      </w:r>
      <w:proofErr w:type="gramEnd"/>
      <w:r w:rsidR="00D17360" w:rsidRPr="005A62BD">
        <w:t xml:space="preserve"> to be addressed without any explicit reference to disability topics.</w:t>
      </w:r>
      <w:r w:rsidR="00D17360" w:rsidRPr="005A62BD">
        <w:rPr>
          <w:rStyle w:val="FootnoteReference"/>
        </w:rPr>
        <w:footnoteReference w:id="45"/>
      </w:r>
      <w:r w:rsidR="005A62BD">
        <w:t xml:space="preserve"> </w:t>
      </w:r>
    </w:p>
    <w:p w14:paraId="10364F17" w14:textId="3C877C34" w:rsidR="00D17360" w:rsidRDefault="00D17360" w:rsidP="00D73FC4">
      <w:pPr>
        <w:spacing w:after="0"/>
        <w:jc w:val="both"/>
      </w:pPr>
      <w:r w:rsidRPr="005A62BD">
        <w:t xml:space="preserve">In relation to the disability issues it is questionable to what extent students with disabilities </w:t>
      </w:r>
      <w:proofErr w:type="gramStart"/>
      <w:r w:rsidRPr="005A62BD">
        <w:t>are able to</w:t>
      </w:r>
      <w:proofErr w:type="gramEnd"/>
      <w:r w:rsidRPr="005A62BD">
        <w:t xml:space="preserve"> benefit</w:t>
      </w:r>
      <w:r w:rsidR="008C04C4">
        <w:t xml:space="preserve"> from the system of dual education</w:t>
      </w:r>
      <w:r w:rsidRPr="005A62BD">
        <w:t xml:space="preserve">. In the upcoming period, the NDP with its targets and measures remains the key policy document in this area. </w:t>
      </w:r>
    </w:p>
    <w:p w14:paraId="4DD47730" w14:textId="15F481A6" w:rsidR="008276C9" w:rsidRDefault="008C04C4" w:rsidP="00D73FC4">
      <w:pPr>
        <w:spacing w:after="0"/>
        <w:jc w:val="both"/>
      </w:pPr>
      <w:r w:rsidRPr="005A62BD">
        <w:lastRenderedPageBreak/>
        <w:t>To conclude, any</w:t>
      </w:r>
      <w:r w:rsidR="00632EF2">
        <w:t xml:space="preserve"> more detailed</w:t>
      </w:r>
      <w:r w:rsidRPr="005A62BD">
        <w:t xml:space="preserve"> assessment of developments in </w:t>
      </w:r>
      <w:r w:rsidR="00632EF2">
        <w:t xml:space="preserve">pre-school </w:t>
      </w:r>
      <w:r w:rsidRPr="005A62BD">
        <w:t xml:space="preserve">education </w:t>
      </w:r>
      <w:r w:rsidR="008276C9">
        <w:t xml:space="preserve">as well as the developments in the system of dual education </w:t>
      </w:r>
      <w:r w:rsidRPr="005A62BD">
        <w:t>from disability perspective is challenging. There has been a lack of available data concerning preschool education</w:t>
      </w:r>
      <w:r w:rsidR="005E364B">
        <w:t xml:space="preserve"> </w:t>
      </w:r>
      <w:r w:rsidR="008276C9">
        <w:t>(</w:t>
      </w:r>
      <w:r w:rsidR="005E364B">
        <w:t>such as the number (or proportion) of accepted applications of children with disabilities</w:t>
      </w:r>
      <w:r w:rsidR="008276C9">
        <w:t>) and dual education (such as the number of pupils with disabilities joined in the dual education)</w:t>
      </w:r>
      <w:r w:rsidRPr="005A62BD">
        <w:t>.</w:t>
      </w:r>
      <w:r w:rsidR="008276C9">
        <w:t xml:space="preserve"> </w:t>
      </w:r>
    </w:p>
    <w:p w14:paraId="73C23C29" w14:textId="069787E7" w:rsidR="00632EF2" w:rsidRDefault="008276C9" w:rsidP="00D73FC4">
      <w:pPr>
        <w:spacing w:after="0"/>
        <w:jc w:val="both"/>
      </w:pPr>
      <w:r>
        <w:t>Regarding the pre-school education, i</w:t>
      </w:r>
      <w:r w:rsidR="001D1FF0">
        <w:t>t should be noted that</w:t>
      </w:r>
      <w:r w:rsidR="00B06B1C">
        <w:t xml:space="preserve"> according, to the Statistical Yearbook data,</w:t>
      </w:r>
      <w:r w:rsidR="001D1FF0">
        <w:t xml:space="preserve"> parents prefer special preschool education for their child</w:t>
      </w:r>
      <w:r w:rsidR="0063696E">
        <w:t xml:space="preserve"> with disabilities</w:t>
      </w:r>
      <w:r w:rsidR="001D1FF0">
        <w:t xml:space="preserve"> than mainstream preschools</w:t>
      </w:r>
      <w:r w:rsidR="0063696E">
        <w:t>. It can be assumed that it is mainly</w:t>
      </w:r>
      <w:r w:rsidR="001D1FF0">
        <w:t xml:space="preserve"> due to the lack of mainstream pre-s</w:t>
      </w:r>
      <w:r w:rsidR="0063696E">
        <w:t xml:space="preserve">chool capacities as well as gaps </w:t>
      </w:r>
      <w:r w:rsidR="006B64B2">
        <w:t xml:space="preserve">mainly </w:t>
      </w:r>
      <w:r w:rsidR="0063696E">
        <w:t>in spatial</w:t>
      </w:r>
      <w:r w:rsidR="006B64B2">
        <w:t xml:space="preserve"> (e.g. architectonical barriers) and</w:t>
      </w:r>
      <w:r w:rsidR="0063696E">
        <w:t xml:space="preserve"> staff conditions</w:t>
      </w:r>
      <w:r w:rsidR="006B64B2">
        <w:t xml:space="preserve"> (e.g. staff readiness to teach and take care of a child with disabilities, lack of teachers’ assistants)</w:t>
      </w:r>
      <w:r w:rsidR="0063696E">
        <w:t xml:space="preserve"> in mainstream preschools</w:t>
      </w:r>
      <w:r w:rsidR="001D1FF0">
        <w:t xml:space="preserve">. </w:t>
      </w:r>
    </w:p>
    <w:p w14:paraId="35C7E89B" w14:textId="4618DED0" w:rsidR="008C04C4" w:rsidRPr="00485B9B" w:rsidRDefault="00632EF2" w:rsidP="00D73FC4">
      <w:pPr>
        <w:spacing w:after="0"/>
        <w:jc w:val="both"/>
        <w:rPr>
          <w:lang w:val="en-US"/>
        </w:rPr>
      </w:pPr>
      <w:r>
        <w:t>In primary education</w:t>
      </w:r>
      <w:r w:rsidR="001F4D58">
        <w:t>,</w:t>
      </w:r>
      <w:r>
        <w:t xml:space="preserve"> </w:t>
      </w:r>
      <w:r w:rsidR="001F4D58">
        <w:t>d</w:t>
      </w:r>
      <w:r>
        <w:t xml:space="preserve">espite the gaps in financing the education and lack of teachers’ assistants </w:t>
      </w:r>
      <w:r w:rsidRPr="00632EF2">
        <w:t xml:space="preserve">the number of pupils with disabilities in mainstream </w:t>
      </w:r>
      <w:r w:rsidR="00B06B1C">
        <w:t xml:space="preserve">primary </w:t>
      </w:r>
      <w:r w:rsidRPr="00632EF2">
        <w:t>schools has doubled in 10 years since 2006</w:t>
      </w:r>
      <w:r w:rsidR="00005808">
        <w:t xml:space="preserve"> to</w:t>
      </w:r>
      <w:r w:rsidRPr="00632EF2">
        <w:t xml:space="preserve"> 26</w:t>
      </w:r>
      <w:r w:rsidR="006B64B2">
        <w:t>,</w:t>
      </w:r>
      <w:r w:rsidRPr="00632EF2">
        <w:t>781</w:t>
      </w:r>
      <w:r>
        <w:t>.</w:t>
      </w:r>
      <w:r w:rsidR="00005808">
        <w:t xml:space="preserve"> In September 2017 further increase to </w:t>
      </w:r>
      <w:r w:rsidR="00005808" w:rsidRPr="00005808">
        <w:t>27</w:t>
      </w:r>
      <w:r w:rsidR="006B64B2">
        <w:t>,</w:t>
      </w:r>
      <w:r w:rsidR="00005808" w:rsidRPr="00005808">
        <w:t>868</w:t>
      </w:r>
      <w:r w:rsidR="00005808">
        <w:t xml:space="preserve"> pupils with disabilities was recorded.</w:t>
      </w:r>
      <w:r w:rsidR="00E14979">
        <w:t xml:space="preserve"> Mostly pupils with developmental learning disorders are those who prefer to choose mainstream primary schools. They make more than a half of all pupils with disabilities.</w:t>
      </w:r>
      <w:r w:rsidR="005E364B">
        <w:rPr>
          <w:rStyle w:val="FootnoteReference"/>
        </w:rPr>
        <w:footnoteReference w:id="46"/>
      </w:r>
    </w:p>
    <w:p w14:paraId="04324F4A" w14:textId="77777777" w:rsidR="008C04C4" w:rsidRPr="005A62BD" w:rsidRDefault="008C04C4" w:rsidP="00D73FC4">
      <w:pPr>
        <w:spacing w:after="0"/>
        <w:jc w:val="both"/>
      </w:pPr>
    </w:p>
    <w:p w14:paraId="29988455" w14:textId="77777777" w:rsidR="0010423F" w:rsidRPr="005A62BD" w:rsidRDefault="0010423F" w:rsidP="00D73FC4">
      <w:pPr>
        <w:pStyle w:val="Heading2"/>
      </w:pPr>
      <w:bookmarkStart w:id="30" w:name="_Toc499120884"/>
      <w:r w:rsidRPr="005A62BD">
        <w:t>Poverty and social inclusion</w:t>
      </w:r>
      <w:bookmarkEnd w:id="30"/>
    </w:p>
    <w:p w14:paraId="5B1975F6" w14:textId="77777777" w:rsidR="00EF2268" w:rsidRPr="005A62BD" w:rsidRDefault="00EF2268" w:rsidP="00D73FC4">
      <w:pPr>
        <w:spacing w:after="0"/>
        <w:jc w:val="both"/>
      </w:pPr>
    </w:p>
    <w:p w14:paraId="7D63BBA0" w14:textId="40914A91" w:rsidR="005144FC" w:rsidRPr="005A62BD" w:rsidRDefault="005144FC" w:rsidP="00D73FC4">
      <w:pPr>
        <w:spacing w:after="0"/>
        <w:jc w:val="both"/>
      </w:pPr>
      <w:r w:rsidRPr="005A62BD">
        <w:t>With regard to social inclusion, the NRP 201</w:t>
      </w:r>
      <w:r w:rsidR="000944EC" w:rsidRPr="005A62BD">
        <w:t>7</w:t>
      </w:r>
      <w:r w:rsidRPr="005A62BD">
        <w:t xml:space="preserve"> constitutes in chapter No. 4.3.</w:t>
      </w:r>
      <w:r w:rsidR="000944EC" w:rsidRPr="005A62BD">
        <w:t>2 “Social i</w:t>
      </w:r>
      <w:r w:rsidR="001E16C9" w:rsidRPr="005A62BD">
        <w:t>n</w:t>
      </w:r>
      <w:r w:rsidR="000944EC" w:rsidRPr="005A62BD">
        <w:t>clusion”</w:t>
      </w:r>
      <w:r w:rsidR="005A62BD">
        <w:t xml:space="preserve"> </w:t>
      </w:r>
      <w:r w:rsidRPr="005A62BD">
        <w:t xml:space="preserve">some tasks in both, social </w:t>
      </w:r>
      <w:r w:rsidR="000944EC" w:rsidRPr="005A62BD">
        <w:t>assistance</w:t>
      </w:r>
      <w:r w:rsidRPr="005A62BD">
        <w:t xml:space="preserve"> for PWD (</w:t>
      </w:r>
      <w:r w:rsidR="000944EC" w:rsidRPr="005A62BD">
        <w:t>to improve the effectiveness of the instruments for social integration of PWD</w:t>
      </w:r>
      <w:r w:rsidRPr="005A62BD">
        <w:t xml:space="preserve"> - mainly an increase of care allowance</w:t>
      </w:r>
      <w:r w:rsidR="000944EC" w:rsidRPr="005A62BD">
        <w:t xml:space="preserve"> to the net minimum wage until 2020, particularly for the working-age recipients</w:t>
      </w:r>
      <w:r w:rsidRPr="005A62BD">
        <w:t>), as well as in the area of social services for care dependent persons (</w:t>
      </w:r>
      <w:r w:rsidR="000944EC" w:rsidRPr="005A62BD">
        <w:t>adoption and implementation of a new social service co-funding system based upon a care dependency level</w:t>
      </w:r>
      <w:r w:rsidRPr="005A62BD">
        <w:t xml:space="preserve">). </w:t>
      </w:r>
      <w:proofErr w:type="gramStart"/>
      <w:r w:rsidRPr="005A62BD">
        <w:t>In order to</w:t>
      </w:r>
      <w:proofErr w:type="gramEnd"/>
      <w:r w:rsidRPr="005A62BD">
        <w:t xml:space="preserve"> fulfil these </w:t>
      </w:r>
      <w:r w:rsidR="008C17EE" w:rsidRPr="005A62BD">
        <w:t>intentions,</w:t>
      </w:r>
      <w:r w:rsidRPr="005A62BD">
        <w:t xml:space="preserve"> the Ministry of Labour, Social Affairs and Family of the Slovak Republic took some steps, namely:</w:t>
      </w:r>
    </w:p>
    <w:p w14:paraId="7621E906" w14:textId="77777777" w:rsidR="00D254A5" w:rsidRPr="005A62BD" w:rsidRDefault="00D254A5" w:rsidP="00D73FC4">
      <w:pPr>
        <w:spacing w:after="0"/>
        <w:jc w:val="both"/>
      </w:pPr>
    </w:p>
    <w:p w14:paraId="0DF58DC8" w14:textId="29AC904D" w:rsidR="005144FC" w:rsidRPr="005A62BD" w:rsidRDefault="000944EC" w:rsidP="00D73FC4">
      <w:pPr>
        <w:pStyle w:val="ListParagraph"/>
        <w:numPr>
          <w:ilvl w:val="0"/>
          <w:numId w:val="20"/>
        </w:numPr>
        <w:spacing w:after="0"/>
        <w:ind w:left="567" w:hanging="567"/>
        <w:jc w:val="both"/>
      </w:pPr>
      <w:r w:rsidRPr="005A62BD">
        <w:t>Since March 2017 a new type of social service titled a</w:t>
      </w:r>
      <w:r w:rsidR="00FB4D3F" w:rsidRPr="005A62BD">
        <w:t xml:space="preserve"> childcare facility for a child under the age of three/nursery service (regardless of having a disability or not), was legally introduced. </w:t>
      </w:r>
      <w:r w:rsidR="005144FC" w:rsidRPr="005A62BD">
        <w:t xml:space="preserve">The solution to bring the nursery service into the competence of the MOLSAF (rather than the Ministry of Health of the Slovak Republic) mirrors a governmental priority to approach the issue primarily as a matter of work-life balance rather than care for small children only. Although young families with children with disabilities are by no means excluded from the </w:t>
      </w:r>
      <w:r w:rsidR="00FB4D3F" w:rsidRPr="005A62BD">
        <w:t xml:space="preserve">adopted service </w:t>
      </w:r>
      <w:r w:rsidR="005144FC" w:rsidRPr="005A62BD">
        <w:t xml:space="preserve">scheme, it is not clear yet, whether and what kind of supportive </w:t>
      </w:r>
      <w:r w:rsidR="00FB4D3F" w:rsidRPr="005A62BD">
        <w:t xml:space="preserve">and additional </w:t>
      </w:r>
      <w:r w:rsidR="005144FC" w:rsidRPr="005A62BD">
        <w:t>measures</w:t>
      </w:r>
      <w:r w:rsidR="005144FC" w:rsidRPr="005A62BD">
        <w:rPr>
          <w:vertAlign w:val="superscript"/>
        </w:rPr>
        <w:footnoteReference w:id="47"/>
      </w:r>
      <w:r w:rsidR="005144FC" w:rsidRPr="005A62BD">
        <w:t xml:space="preserve"> </w:t>
      </w:r>
      <w:r w:rsidR="00FB4D3F" w:rsidRPr="005A62BD">
        <w:t>should</w:t>
      </w:r>
      <w:r w:rsidR="005144FC" w:rsidRPr="005A62BD">
        <w:t xml:space="preserve"> be adopted to allow their participation.</w:t>
      </w:r>
      <w:r w:rsidR="005144FC" w:rsidRPr="005A62BD">
        <w:rPr>
          <w:lang w:eastAsia="sk-SK"/>
        </w:rPr>
        <w:t xml:space="preserve"> </w:t>
      </w:r>
      <w:r w:rsidR="00FB4D3F" w:rsidRPr="005A62BD">
        <w:rPr>
          <w:lang w:eastAsia="sk-SK"/>
        </w:rPr>
        <w:t xml:space="preserve">In </w:t>
      </w:r>
      <w:r w:rsidR="00374869" w:rsidRPr="005A62BD">
        <w:rPr>
          <w:lang w:eastAsia="sk-SK"/>
        </w:rPr>
        <w:t xml:space="preserve">the </w:t>
      </w:r>
      <w:r w:rsidR="00FB4D3F" w:rsidRPr="005A62BD">
        <w:rPr>
          <w:lang w:eastAsia="sk-SK"/>
        </w:rPr>
        <w:lastRenderedPageBreak/>
        <w:t xml:space="preserve">first half of 2017 only two nursery service providers </w:t>
      </w:r>
      <w:r w:rsidR="00374869" w:rsidRPr="005A62BD">
        <w:rPr>
          <w:lang w:eastAsia="sk-SK"/>
        </w:rPr>
        <w:t>were</w:t>
      </w:r>
      <w:r w:rsidR="00FB4D3F" w:rsidRPr="005A62BD">
        <w:rPr>
          <w:lang w:eastAsia="sk-SK"/>
        </w:rPr>
        <w:t xml:space="preserve"> registered in the Central registr</w:t>
      </w:r>
      <w:r w:rsidR="001E16C9" w:rsidRPr="005A62BD">
        <w:rPr>
          <w:lang w:eastAsia="sk-SK"/>
        </w:rPr>
        <w:t>y</w:t>
      </w:r>
      <w:r w:rsidR="00FB4D3F" w:rsidRPr="005A62BD">
        <w:rPr>
          <w:lang w:eastAsia="sk-SK"/>
        </w:rPr>
        <w:t xml:space="preserve"> of social services´ providers.</w:t>
      </w:r>
      <w:r w:rsidR="00FB4D3F" w:rsidRPr="005A62BD">
        <w:rPr>
          <w:rStyle w:val="FootnoteReference"/>
          <w:lang w:eastAsia="sk-SK"/>
        </w:rPr>
        <w:footnoteReference w:id="48"/>
      </w:r>
    </w:p>
    <w:p w14:paraId="204CFC36" w14:textId="2D3D93B2" w:rsidR="005144FC" w:rsidRPr="005A62BD" w:rsidRDefault="005144FC" w:rsidP="00D73FC4">
      <w:pPr>
        <w:numPr>
          <w:ilvl w:val="0"/>
          <w:numId w:val="20"/>
        </w:numPr>
        <w:spacing w:after="0"/>
        <w:ind w:left="567" w:hanging="567"/>
        <w:jc w:val="both"/>
      </w:pPr>
      <w:r w:rsidRPr="005A62BD">
        <w:t>The update of the activities of the “</w:t>
      </w:r>
      <w:r w:rsidRPr="005A62BD">
        <w:rPr>
          <w:i/>
        </w:rPr>
        <w:t>working group on</w:t>
      </w:r>
      <w:r w:rsidRPr="005A62BD">
        <w:t xml:space="preserve"> </w:t>
      </w:r>
      <w:r w:rsidRPr="005A62BD">
        <w:rPr>
          <w:i/>
        </w:rPr>
        <w:t>social services</w:t>
      </w:r>
      <w:r w:rsidRPr="005A62BD">
        <w:t>” (since March 2016</w:t>
      </w:r>
      <w:r w:rsidR="00374869" w:rsidRPr="005A62BD">
        <w:t xml:space="preserve"> up to June 2017</w:t>
      </w:r>
      <w:r w:rsidRPr="005A62BD">
        <w:t xml:space="preserve">) focused on preparation of a fundamental amendment of the Act on social services. The amendment </w:t>
      </w:r>
      <w:r w:rsidR="00374869" w:rsidRPr="005A62BD">
        <w:t>will</w:t>
      </w:r>
      <w:r w:rsidRPr="005A62BD">
        <w:t xml:space="preserve"> cover </w:t>
      </w:r>
      <w:r w:rsidR="00374869" w:rsidRPr="005A62BD">
        <w:t>mainly</w:t>
      </w:r>
      <w:r w:rsidRPr="005A62BD">
        <w:t xml:space="preserve"> new funding rules in </w:t>
      </w:r>
      <w:r w:rsidR="00374869" w:rsidRPr="005A62BD">
        <w:t>social services for care dependent persons</w:t>
      </w:r>
      <w:r w:rsidRPr="005A62BD">
        <w:t>. These legislative changes should be finished in 2017 and the amendment of the act is expected to come into force from 2018.</w:t>
      </w:r>
    </w:p>
    <w:p w14:paraId="44747331" w14:textId="316039B8" w:rsidR="005144FC" w:rsidRPr="005A62BD" w:rsidRDefault="005144FC" w:rsidP="00D73FC4">
      <w:pPr>
        <w:numPr>
          <w:ilvl w:val="0"/>
          <w:numId w:val="20"/>
        </w:numPr>
        <w:spacing w:after="0"/>
        <w:ind w:left="567" w:hanging="567"/>
        <w:jc w:val="both"/>
      </w:pPr>
      <w:bookmarkStart w:id="31" w:name="OLE_LINK21"/>
      <w:bookmarkStart w:id="32" w:name="OLE_LINK22"/>
      <w:r w:rsidRPr="005A62BD">
        <w:t xml:space="preserve">The activities of the </w:t>
      </w:r>
      <w:r w:rsidRPr="005A62BD">
        <w:rPr>
          <w:i/>
        </w:rPr>
        <w:t>national projects</w:t>
      </w:r>
      <w:r w:rsidRPr="005A62BD">
        <w:t xml:space="preserve">: (1) following the national project focused on deinstitutionalisation of traditional residential services for care dependent persons in the programming period 2007-2013, the ministry is </w:t>
      </w:r>
      <w:r w:rsidR="00193D32" w:rsidRPr="005A62BD">
        <w:t>finishing preparation of</w:t>
      </w:r>
      <w:r w:rsidR="005A62BD">
        <w:t xml:space="preserve"> </w:t>
      </w:r>
      <w:r w:rsidRPr="005A62BD">
        <w:t xml:space="preserve">a new </w:t>
      </w:r>
      <w:r w:rsidR="00193D32" w:rsidRPr="005A62BD">
        <w:t xml:space="preserve">DI </w:t>
      </w:r>
      <w:r w:rsidRPr="005A62BD">
        <w:t>project in the current programming period to continue in this process and to transform the pilot experience into the more systematic one (to include into the DI process more long-term care residential providers). (2) At the same time</w:t>
      </w:r>
      <w:r w:rsidR="006C3173">
        <w:t>,</w:t>
      </w:r>
      <w:r w:rsidRPr="005A62BD">
        <w:t xml:space="preserve"> it plans to launch a new project which will be aimed at systematic support of quality in the social services. (3) The national project to support funding of home care service has been running since early 2016</w:t>
      </w:r>
      <w:r w:rsidR="00193D32" w:rsidRPr="005A62BD">
        <w:t xml:space="preserve"> with its termination in Ju</w:t>
      </w:r>
      <w:r w:rsidR="003C53BA" w:rsidRPr="005A62BD">
        <w:t>ly</w:t>
      </w:r>
      <w:r w:rsidR="00193D32" w:rsidRPr="005A62BD">
        <w:t xml:space="preserve"> 201</w:t>
      </w:r>
      <w:r w:rsidR="003C53BA" w:rsidRPr="005A62BD">
        <w:t>8</w:t>
      </w:r>
      <w:r w:rsidRPr="005A62BD">
        <w:t>.</w:t>
      </w:r>
    </w:p>
    <w:bookmarkEnd w:id="31"/>
    <w:bookmarkEnd w:id="32"/>
    <w:p w14:paraId="4273F4E5" w14:textId="77777777" w:rsidR="00D254A5" w:rsidRPr="005A62BD" w:rsidRDefault="00D254A5" w:rsidP="00D73FC4">
      <w:pPr>
        <w:spacing w:after="0"/>
        <w:jc w:val="both"/>
      </w:pPr>
    </w:p>
    <w:p w14:paraId="4E0F2B1B" w14:textId="5804CA4F" w:rsidR="00D254A5" w:rsidRPr="005A62BD" w:rsidRDefault="005144FC" w:rsidP="00D73FC4">
      <w:pPr>
        <w:spacing w:after="0"/>
        <w:jc w:val="both"/>
      </w:pPr>
      <w:proofErr w:type="gramStart"/>
      <w:r w:rsidRPr="005A62BD">
        <w:t>Similarly</w:t>
      </w:r>
      <w:proofErr w:type="gramEnd"/>
      <w:r w:rsidRPr="005A62BD">
        <w:t xml:space="preserve"> to the NRP</w:t>
      </w:r>
      <w:r w:rsidR="00237001" w:rsidRPr="005A62BD">
        <w:t xml:space="preserve"> 2017</w:t>
      </w:r>
      <w:r w:rsidRPr="005A62BD">
        <w:t xml:space="preserve">, the MG 2016-2020 also sets as a priority </w:t>
      </w:r>
      <w:bookmarkStart w:id="33" w:name="OLE_LINK1"/>
      <w:bookmarkStart w:id="34" w:name="OLE_LINK2"/>
      <w:r w:rsidRPr="005A62BD">
        <w:t xml:space="preserve">an optimisation and better targeting of </w:t>
      </w:r>
      <w:r w:rsidRPr="005A62BD">
        <w:rPr>
          <w:i/>
        </w:rPr>
        <w:t>disability related financial allowances</w:t>
      </w:r>
      <w:r w:rsidRPr="005A62BD">
        <w:t xml:space="preserve"> </w:t>
      </w:r>
      <w:bookmarkEnd w:id="33"/>
      <w:bookmarkEnd w:id="34"/>
      <w:r w:rsidRPr="005A62BD">
        <w:t xml:space="preserve">(direct payments), including the revision of the health and needs assessment procedures to enable maximum social inclusion of persons with disabilities. In relation to that, </w:t>
      </w:r>
      <w:r w:rsidR="00237001" w:rsidRPr="005A62BD">
        <w:t xml:space="preserve">since March 2017 </w:t>
      </w:r>
      <w:r w:rsidRPr="005A62BD">
        <w:t>amount of a disability nursing allowance (care allowance to care-givers for persons with disabilities aged 6+)</w:t>
      </w:r>
      <w:r w:rsidR="00237001" w:rsidRPr="005A62BD">
        <w:t xml:space="preserve"> has been increased, and the safeguard limit on the income of cared for persons has been increased, too. There is a plan</w:t>
      </w:r>
      <w:r w:rsidR="00817236" w:rsidRPr="005A62BD">
        <w:t xml:space="preserve"> </w:t>
      </w:r>
      <w:r w:rsidR="00237001" w:rsidRPr="005A62BD">
        <w:t xml:space="preserve">to increase the </w:t>
      </w:r>
      <w:proofErr w:type="spellStart"/>
      <w:r w:rsidR="00237001" w:rsidRPr="005A62BD">
        <w:t>care</w:t>
      </w:r>
      <w:proofErr w:type="spellEnd"/>
      <w:r w:rsidR="00237001" w:rsidRPr="005A62BD">
        <w:t xml:space="preserve"> allowance up to the net minimum wage until 2020, particularly for the working-age recipients to improve their social and economic status</w:t>
      </w:r>
      <w:r w:rsidR="00817236" w:rsidRPr="005A62BD">
        <w:t xml:space="preserve"> and social rights</w:t>
      </w:r>
      <w:r w:rsidRPr="005A62BD">
        <w:t>.</w:t>
      </w:r>
      <w:r w:rsidRPr="005A62BD">
        <w:rPr>
          <w:i/>
        </w:rPr>
        <w:t xml:space="preserve"> </w:t>
      </w:r>
    </w:p>
    <w:p w14:paraId="36F58CBE" w14:textId="53931BD6" w:rsidR="005144FC" w:rsidRDefault="005144FC" w:rsidP="00D73FC4">
      <w:pPr>
        <w:spacing w:after="0"/>
        <w:jc w:val="both"/>
      </w:pPr>
      <w:r w:rsidRPr="005A62BD">
        <w:t xml:space="preserve">Other provisions are focused to area of </w:t>
      </w:r>
      <w:r w:rsidRPr="005A62BD">
        <w:rPr>
          <w:i/>
        </w:rPr>
        <w:t>social services</w:t>
      </w:r>
      <w:r w:rsidRPr="005A62BD">
        <w:t xml:space="preserve">, mainly </w:t>
      </w:r>
      <w:r w:rsidR="008C17EE" w:rsidRPr="005A62BD">
        <w:t>long-term</w:t>
      </w:r>
      <w:r w:rsidRPr="005A62BD">
        <w:t xml:space="preserve"> care services for care dependent persons, namely:</w:t>
      </w:r>
    </w:p>
    <w:p w14:paraId="4D9FD255" w14:textId="77777777" w:rsidR="006C3173" w:rsidRPr="005A62BD" w:rsidRDefault="006C3173" w:rsidP="00D73FC4">
      <w:pPr>
        <w:spacing w:after="0"/>
        <w:jc w:val="both"/>
      </w:pPr>
    </w:p>
    <w:p w14:paraId="05251803" w14:textId="77777777" w:rsidR="005144FC" w:rsidRPr="005A62BD" w:rsidRDefault="005144FC" w:rsidP="00D73FC4">
      <w:pPr>
        <w:numPr>
          <w:ilvl w:val="0"/>
          <w:numId w:val="21"/>
        </w:numPr>
        <w:spacing w:after="0"/>
        <w:ind w:left="567" w:hanging="567"/>
        <w:jc w:val="both"/>
      </w:pPr>
      <w:r w:rsidRPr="005A62BD">
        <w:t xml:space="preserve">the Government will pay </w:t>
      </w:r>
      <w:proofErr w:type="gramStart"/>
      <w:r w:rsidRPr="005A62BD">
        <w:t>particular attention</w:t>
      </w:r>
      <w:proofErr w:type="gramEnd"/>
      <w:r w:rsidRPr="005A62BD">
        <w:t xml:space="preserve"> to the care of older persons, especially to effective linking health and social care ser</w:t>
      </w:r>
      <w:r w:rsidR="00D254A5" w:rsidRPr="005A62BD">
        <w:t>vices (long-term care services);</w:t>
      </w:r>
    </w:p>
    <w:p w14:paraId="7B16ED66" w14:textId="4AD20AE5" w:rsidR="005144FC" w:rsidRPr="005A62BD" w:rsidRDefault="005144FC" w:rsidP="00D73FC4">
      <w:pPr>
        <w:numPr>
          <w:ilvl w:val="0"/>
          <w:numId w:val="21"/>
        </w:numPr>
        <w:spacing w:after="0"/>
        <w:ind w:left="567" w:hanging="567"/>
        <w:jc w:val="both"/>
      </w:pPr>
      <w:r w:rsidRPr="005A62BD">
        <w:t xml:space="preserve">there </w:t>
      </w:r>
      <w:r w:rsidR="004A2329" w:rsidRPr="005A62BD">
        <w:t>remains</w:t>
      </w:r>
      <w:r w:rsidRPr="005A62BD">
        <w:t xml:space="preserve"> an effort to introduce a single medical and social needs assessment procedure </w:t>
      </w:r>
      <w:proofErr w:type="gramStart"/>
      <w:r w:rsidRPr="005A62BD">
        <w:t>in</w:t>
      </w:r>
      <w:r w:rsidR="00D254A5" w:rsidRPr="005A62BD">
        <w:t xml:space="preserve"> order to</w:t>
      </w:r>
      <w:proofErr w:type="gramEnd"/>
      <w:r w:rsidR="00D254A5" w:rsidRPr="005A62BD">
        <w:t xml:space="preserve"> enhance effectiveness;</w:t>
      </w:r>
    </w:p>
    <w:p w14:paraId="0ABF4014" w14:textId="77777777" w:rsidR="005144FC" w:rsidRPr="005A62BD" w:rsidRDefault="005144FC" w:rsidP="00D73FC4">
      <w:pPr>
        <w:numPr>
          <w:ilvl w:val="0"/>
          <w:numId w:val="21"/>
        </w:numPr>
        <w:spacing w:after="0"/>
        <w:ind w:left="567" w:hanging="567"/>
        <w:jc w:val="both"/>
      </w:pPr>
      <w:r w:rsidRPr="005A62BD">
        <w:t>the process of deinstitut</w:t>
      </w:r>
      <w:r w:rsidR="00D254A5" w:rsidRPr="005A62BD">
        <w:t>ionalisation will be continuing;</w:t>
      </w:r>
    </w:p>
    <w:p w14:paraId="6609E494" w14:textId="77777777" w:rsidR="005144FC" w:rsidRPr="005A62BD" w:rsidRDefault="005144FC" w:rsidP="00D73FC4">
      <w:pPr>
        <w:numPr>
          <w:ilvl w:val="0"/>
          <w:numId w:val="21"/>
        </w:numPr>
        <w:spacing w:after="0"/>
        <w:ind w:left="567" w:hanging="567"/>
        <w:jc w:val="both"/>
      </w:pPr>
      <w:r w:rsidRPr="005A62BD">
        <w:t>remuneration of employees in social services will be addressed, since the emplo</w:t>
      </w:r>
      <w:r w:rsidR="00D254A5" w:rsidRPr="005A62BD">
        <w:t xml:space="preserve">yees in social </w:t>
      </w:r>
      <w:r w:rsidRPr="005A62BD">
        <w:t>services belong to the least paid workers overall in Slovakia.</w:t>
      </w:r>
    </w:p>
    <w:p w14:paraId="2492ED24" w14:textId="77777777" w:rsidR="00D254A5" w:rsidRPr="005A62BD" w:rsidRDefault="00D254A5" w:rsidP="00D73FC4">
      <w:pPr>
        <w:spacing w:after="0"/>
        <w:jc w:val="both"/>
      </w:pPr>
    </w:p>
    <w:p w14:paraId="33A03CB8" w14:textId="3C20B82C" w:rsidR="005144FC" w:rsidRPr="005A62BD" w:rsidRDefault="00003B23" w:rsidP="00D73FC4">
      <w:pPr>
        <w:spacing w:after="0"/>
        <w:jc w:val="both"/>
      </w:pPr>
      <w:r w:rsidRPr="005A62BD">
        <w:t>I</w:t>
      </w:r>
      <w:r w:rsidR="005144FC" w:rsidRPr="005A62BD">
        <w:t xml:space="preserve">n </w:t>
      </w:r>
      <w:r w:rsidRPr="005A62BD">
        <w:t>December</w:t>
      </w:r>
      <w:r w:rsidR="005144FC" w:rsidRPr="005A62BD">
        <w:t xml:space="preserve"> 2016 the Slovak Government approve</w:t>
      </w:r>
      <w:r w:rsidRPr="005A62BD">
        <w:t>d</w:t>
      </w:r>
      <w:r w:rsidR="005144FC" w:rsidRPr="005A62BD">
        <w:t xml:space="preserve"> the first report on implementation of the </w:t>
      </w:r>
      <w:r w:rsidR="005144FC" w:rsidRPr="005A62BD">
        <w:rPr>
          <w:i/>
        </w:rPr>
        <w:t xml:space="preserve">NDP for years 2014-2015 and its updating for period up to 2020. </w:t>
      </w:r>
      <w:r w:rsidR="005144FC" w:rsidRPr="005A62BD">
        <w:t xml:space="preserve">The report provides information from all relevant stakeholders about their supportive programs and provisions in all areas covered by the National Disability </w:t>
      </w:r>
      <w:r w:rsidR="005144FC" w:rsidRPr="005A62BD">
        <w:lastRenderedPageBreak/>
        <w:t xml:space="preserve">Program. Moreover, the report reflects on the UN CRPD </w:t>
      </w:r>
      <w:r w:rsidR="005144FC" w:rsidRPr="005A62BD">
        <w:rPr>
          <w:i/>
        </w:rPr>
        <w:t xml:space="preserve">Concluding Observations </w:t>
      </w:r>
      <w:r w:rsidR="005144FC" w:rsidRPr="005A62BD">
        <w:t>and</w:t>
      </w:r>
      <w:r w:rsidR="005144FC" w:rsidRPr="005A62BD">
        <w:rPr>
          <w:i/>
        </w:rPr>
        <w:t xml:space="preserve"> </w:t>
      </w:r>
      <w:r w:rsidR="005144FC" w:rsidRPr="005A62BD">
        <w:t xml:space="preserve">incorporates some new disability-related goals and provisions for the coming years. </w:t>
      </w:r>
      <w:r w:rsidRPr="005A62BD">
        <w:t>Next report will be prepared from March 2018.</w:t>
      </w:r>
    </w:p>
    <w:p w14:paraId="254632FD" w14:textId="77777777" w:rsidR="00D254A5" w:rsidRPr="005A62BD" w:rsidRDefault="00D254A5" w:rsidP="00D73FC4">
      <w:pPr>
        <w:spacing w:after="0"/>
        <w:jc w:val="both"/>
      </w:pPr>
    </w:p>
    <w:p w14:paraId="111EED14" w14:textId="2EB77B9C" w:rsidR="005144FC" w:rsidRPr="005A62BD" w:rsidRDefault="005144FC" w:rsidP="00D73FC4">
      <w:pPr>
        <w:spacing w:after="0"/>
        <w:jc w:val="both"/>
      </w:pPr>
      <w:r w:rsidRPr="005A62BD">
        <w:t xml:space="preserve">Concerning the area of social inclusion and support of independent living, the </w:t>
      </w:r>
      <w:r w:rsidR="001736BE">
        <w:t xml:space="preserve">report </w:t>
      </w:r>
      <w:r w:rsidRPr="005A62BD">
        <w:t>contains commitments to support home- and community-based services in all regions (in accordance with recommendation</w:t>
      </w:r>
      <w:r w:rsidR="009C4A70">
        <w:t>s</w:t>
      </w:r>
      <w:r w:rsidRPr="005A62BD">
        <w:t xml:space="preserve"> No. </w:t>
      </w:r>
      <w:r w:rsidR="009B27F9">
        <w:t>5</w:t>
      </w:r>
      <w:r w:rsidR="009C4A70">
        <w:t xml:space="preserve">6, </w:t>
      </w:r>
      <w:r w:rsidRPr="005A62BD">
        <w:t xml:space="preserve">58 of the </w:t>
      </w:r>
      <w:r w:rsidR="009C4A70">
        <w:t>C</w:t>
      </w:r>
      <w:r w:rsidRPr="005A62BD">
        <w:t>oncluding observations of the UN Committee</w:t>
      </w:r>
      <w:r w:rsidR="001736BE" w:rsidRPr="001736BE">
        <w:rPr>
          <w:rFonts w:eastAsia="Arial Unicode MS"/>
          <w:u w:color="000000"/>
          <w:bdr w:val="nil"/>
          <w:lang w:eastAsia="sk-SK"/>
        </w:rPr>
        <w:t xml:space="preserve"> </w:t>
      </w:r>
      <w:r w:rsidR="001736BE">
        <w:rPr>
          <w:rFonts w:eastAsia="Arial Unicode MS"/>
          <w:u w:color="000000"/>
          <w:bdr w:val="nil"/>
          <w:lang w:eastAsia="sk-SK"/>
        </w:rPr>
        <w:t>for Human Rights of Persons with Disabilities</w:t>
      </w:r>
      <w:r w:rsidR="001736BE">
        <w:t>, 2016</w:t>
      </w:r>
      <w:r w:rsidR="009C4A70">
        <w:rPr>
          <w:rStyle w:val="FootnoteReference"/>
        </w:rPr>
        <w:footnoteReference w:id="49"/>
      </w:r>
      <w:r w:rsidR="009C4A70">
        <w:t>)</w:t>
      </w:r>
      <w:r w:rsidR="009C4A70" w:rsidRPr="005034C1">
        <w:rPr>
          <w:rFonts w:eastAsia="Arial Unicode MS"/>
          <w:u w:color="000000"/>
          <w:bdr w:val="nil"/>
          <w:lang w:eastAsia="sk-SK"/>
        </w:rPr>
        <w:t>.</w:t>
      </w:r>
      <w:r w:rsidRPr="005A62BD">
        <w:t xml:space="preserve"> Moreover, recommendation No. 26 became a basis for a new NDP measure dealing with the early diagnosis and interventions for children with disabilities. </w:t>
      </w:r>
      <w:r w:rsidR="000641E4">
        <w:t xml:space="preserve">The </w:t>
      </w:r>
      <w:r w:rsidR="001736BE">
        <w:t>UN Committee</w:t>
      </w:r>
      <w:r w:rsidR="001736BE">
        <w:rPr>
          <w:rFonts w:eastAsia="Arial Unicode MS"/>
          <w:u w:color="000000"/>
          <w:bdr w:val="nil"/>
          <w:lang w:eastAsia="sk-SK"/>
        </w:rPr>
        <w:t xml:space="preserve"> </w:t>
      </w:r>
      <w:r w:rsidR="001736BE" w:rsidRPr="005034C1">
        <w:rPr>
          <w:rFonts w:eastAsia="Arial Unicode MS"/>
          <w:u w:color="000000"/>
          <w:bdr w:val="nil"/>
          <w:lang w:eastAsia="sk-SK"/>
        </w:rPr>
        <w:t>recommend</w:t>
      </w:r>
      <w:r w:rsidR="001736BE">
        <w:rPr>
          <w:rFonts w:eastAsia="Arial Unicode MS"/>
          <w:u w:color="000000"/>
          <w:bdr w:val="nil"/>
          <w:lang w:eastAsia="sk-SK"/>
        </w:rPr>
        <w:t>ed to Slovakia “</w:t>
      </w:r>
      <w:r w:rsidR="001736BE" w:rsidRPr="005034C1">
        <w:rPr>
          <w:rFonts w:eastAsia="Arial Unicode MS"/>
          <w:i/>
          <w:u w:color="000000"/>
          <w:bdr w:val="nil"/>
          <w:lang w:eastAsia="sk-SK"/>
        </w:rPr>
        <w:t xml:space="preserve">to provide and implement a timetable to ensure that the implementation of the deinstitutionalization process is expedited, including by putting in place specific additional measures to ensure that community-based services are strengthened for all persons with disabilities, </w:t>
      </w:r>
      <w:proofErr w:type="gramStart"/>
      <w:r w:rsidR="001736BE" w:rsidRPr="005034C1">
        <w:rPr>
          <w:rFonts w:eastAsia="Arial Unicode MS"/>
          <w:i/>
          <w:u w:color="000000"/>
          <w:bdr w:val="nil"/>
          <w:lang w:eastAsia="sk-SK"/>
        </w:rPr>
        <w:t>in particular women</w:t>
      </w:r>
      <w:proofErr w:type="gramEnd"/>
      <w:r w:rsidR="001736BE" w:rsidRPr="005034C1">
        <w:rPr>
          <w:rFonts w:eastAsia="Arial Unicode MS"/>
          <w:i/>
          <w:u w:color="000000"/>
          <w:bdr w:val="nil"/>
          <w:lang w:eastAsia="sk-SK"/>
        </w:rPr>
        <w:t xml:space="preserve"> with disabilities and older persons with disabilities. Furthermore, the State party should ensure that the use of European structural and investment funds complies with article 19 and that new follow-up national action plans on the transition from institutional settings to community-based support are initiated with the comprehensive involvement of organizations of persons with disabilities and civil society organizations, including </w:t>
      </w:r>
      <w:proofErr w:type="gramStart"/>
      <w:r w:rsidR="001736BE" w:rsidRPr="005034C1">
        <w:rPr>
          <w:rFonts w:eastAsia="Arial Unicode MS"/>
          <w:i/>
          <w:u w:color="000000"/>
          <w:bdr w:val="nil"/>
          <w:lang w:eastAsia="sk-SK"/>
        </w:rPr>
        <w:t>in the area of</w:t>
      </w:r>
      <w:proofErr w:type="gramEnd"/>
      <w:r w:rsidR="001736BE" w:rsidRPr="005034C1">
        <w:rPr>
          <w:rFonts w:eastAsia="Arial Unicode MS"/>
          <w:i/>
          <w:u w:color="000000"/>
          <w:bdr w:val="nil"/>
          <w:lang w:eastAsia="sk-SK"/>
        </w:rPr>
        <w:t xml:space="preserve"> monitoring. The Committee also recommends that the State party no longer allocate resources from the national budget to institutions and that it reallocate resources into community-based services </w:t>
      </w:r>
      <w:r w:rsidR="001736BE" w:rsidRPr="005034C1">
        <w:rPr>
          <w:i/>
        </w:rPr>
        <w:t>in accordance with the investment priorities of the European Regional Development Fund (art. 5.9 (a) of European Union regulation No. 1303/2013)</w:t>
      </w:r>
      <w:r w:rsidR="001736BE">
        <w:t>” (Article No. 56, Concluding Observation, 2016</w:t>
      </w:r>
      <w:r w:rsidR="009C4A70">
        <w:t>).</w:t>
      </w:r>
    </w:p>
    <w:p w14:paraId="6A79D195" w14:textId="77777777" w:rsidR="00D254A5" w:rsidRPr="005A62BD" w:rsidRDefault="00D254A5" w:rsidP="00D73FC4">
      <w:pPr>
        <w:spacing w:after="0"/>
        <w:jc w:val="both"/>
      </w:pPr>
    </w:p>
    <w:p w14:paraId="04224722" w14:textId="1C2041C3" w:rsidR="001736BE" w:rsidRDefault="001736BE" w:rsidP="00D73FC4">
      <w:pPr>
        <w:pStyle w:val="SingleTxtG"/>
        <w:spacing w:after="0" w:line="240" w:lineRule="auto"/>
        <w:ind w:left="0" w:right="-2"/>
        <w:rPr>
          <w:rFonts w:ascii="Arial" w:hAnsi="Arial" w:cs="Arial"/>
          <w:sz w:val="24"/>
          <w:szCs w:val="24"/>
        </w:rPr>
      </w:pPr>
      <w:r>
        <w:rPr>
          <w:rFonts w:ascii="Arial" w:hAnsi="Arial" w:cs="Arial"/>
          <w:sz w:val="24"/>
          <w:szCs w:val="24"/>
        </w:rPr>
        <w:t xml:space="preserve">Correspondingly, </w:t>
      </w:r>
      <w:r w:rsidR="00DF44DB" w:rsidRPr="005034C1">
        <w:rPr>
          <w:rFonts w:ascii="Arial" w:hAnsi="Arial" w:cs="Arial"/>
          <w:sz w:val="24"/>
          <w:szCs w:val="24"/>
        </w:rPr>
        <w:t>in t</w:t>
      </w:r>
      <w:r w:rsidR="00003B23" w:rsidRPr="005034C1">
        <w:rPr>
          <w:rFonts w:ascii="Arial" w:hAnsi="Arial" w:cs="Arial"/>
          <w:sz w:val="24"/>
          <w:szCs w:val="24"/>
        </w:rPr>
        <w:t>he Commission Staff Working Document – CRS 2017 is stated, that “</w:t>
      </w:r>
      <w:r w:rsidR="00003B23" w:rsidRPr="005034C1">
        <w:rPr>
          <w:rFonts w:ascii="Arial" w:hAnsi="Arial" w:cs="Arial"/>
          <w:i/>
          <w:sz w:val="24"/>
          <w:szCs w:val="24"/>
        </w:rPr>
        <w:t>The long-term care system remains in Slovakia underdeveloped</w:t>
      </w:r>
      <w:r w:rsidR="00003B23" w:rsidRPr="005034C1">
        <w:rPr>
          <w:rFonts w:ascii="Arial" w:hAnsi="Arial" w:cs="Arial"/>
          <w:sz w:val="24"/>
          <w:szCs w:val="24"/>
        </w:rPr>
        <w:t>” (Commission SWD, 2017, p. 24) and</w:t>
      </w:r>
      <w:r w:rsidR="005A62BD" w:rsidRPr="005034C1">
        <w:rPr>
          <w:rFonts w:ascii="Arial" w:hAnsi="Arial" w:cs="Arial"/>
          <w:sz w:val="24"/>
          <w:szCs w:val="24"/>
        </w:rPr>
        <w:t xml:space="preserve"> </w:t>
      </w:r>
      <w:r w:rsidR="00003B23" w:rsidRPr="005034C1">
        <w:rPr>
          <w:rFonts w:ascii="Arial" w:hAnsi="Arial" w:cs="Arial"/>
          <w:sz w:val="24"/>
          <w:szCs w:val="24"/>
        </w:rPr>
        <w:t xml:space="preserve">progress from institutional care to community based one is too slow, including still insufficient support for independent living. </w:t>
      </w:r>
    </w:p>
    <w:p w14:paraId="67B5BA87" w14:textId="34B2B6AF" w:rsidR="005034C1" w:rsidRPr="005034C1" w:rsidRDefault="0017093C" w:rsidP="00D73FC4">
      <w:pPr>
        <w:pStyle w:val="SingleTxtG"/>
        <w:spacing w:after="0" w:line="240" w:lineRule="auto"/>
        <w:ind w:left="0" w:right="-2"/>
        <w:rPr>
          <w:rFonts w:ascii="Arial" w:eastAsia="Arial Unicode MS" w:hAnsi="Arial" w:cs="Arial"/>
          <w:sz w:val="24"/>
          <w:szCs w:val="24"/>
          <w:u w:color="000000"/>
          <w:bdr w:val="nil"/>
          <w:lang w:eastAsia="sk-SK"/>
        </w:rPr>
      </w:pPr>
      <w:r>
        <w:rPr>
          <w:rFonts w:ascii="Arial" w:eastAsia="Arial Unicode MS" w:hAnsi="Arial" w:cs="Arial"/>
          <w:sz w:val="24"/>
          <w:szCs w:val="24"/>
          <w:u w:color="000000"/>
          <w:bdr w:val="nil"/>
          <w:lang w:eastAsia="sk-SK"/>
        </w:rPr>
        <w:t>In accordance with the abovementioned statements and recommendations the Ministry of Agriculture and Rural Development of the Slovak Republic continues through the</w:t>
      </w:r>
      <w:r w:rsidR="009C4A70">
        <w:rPr>
          <w:rFonts w:ascii="Arial" w:eastAsia="Arial Unicode MS" w:hAnsi="Arial" w:cs="Arial"/>
          <w:sz w:val="24"/>
          <w:szCs w:val="24"/>
          <w:u w:color="000000"/>
          <w:bdr w:val="nil"/>
          <w:lang w:eastAsia="sk-SK"/>
        </w:rPr>
        <w:t xml:space="preserve"> EFRD, namely the</w:t>
      </w:r>
      <w:r>
        <w:rPr>
          <w:rFonts w:ascii="Arial" w:eastAsia="Arial Unicode MS" w:hAnsi="Arial" w:cs="Arial"/>
          <w:sz w:val="24"/>
          <w:szCs w:val="24"/>
          <w:u w:color="000000"/>
          <w:bdr w:val="nil"/>
          <w:lang w:eastAsia="sk-SK"/>
        </w:rPr>
        <w:t xml:space="preserve"> Integrated Regional Operational Program </w:t>
      </w:r>
      <w:r w:rsidR="001E3EDC">
        <w:rPr>
          <w:rFonts w:ascii="Arial" w:eastAsia="Arial Unicode MS" w:hAnsi="Arial" w:cs="Arial"/>
          <w:sz w:val="24"/>
          <w:szCs w:val="24"/>
          <w:u w:color="000000"/>
          <w:bdr w:val="nil"/>
          <w:lang w:eastAsia="sk-SK"/>
        </w:rPr>
        <w:t>its financial support of</w:t>
      </w:r>
      <w:r>
        <w:rPr>
          <w:rFonts w:ascii="Arial" w:eastAsia="Arial Unicode MS" w:hAnsi="Arial" w:cs="Arial"/>
          <w:sz w:val="24"/>
          <w:szCs w:val="24"/>
          <w:u w:color="000000"/>
          <w:bdr w:val="nil"/>
          <w:lang w:eastAsia="sk-SK"/>
        </w:rPr>
        <w:t xml:space="preserve"> deinstitutionalisation of </w:t>
      </w:r>
      <w:r w:rsidR="001E3EDC">
        <w:rPr>
          <w:rFonts w:ascii="Arial" w:eastAsia="Arial Unicode MS" w:hAnsi="Arial" w:cs="Arial"/>
          <w:sz w:val="24"/>
          <w:szCs w:val="24"/>
          <w:u w:color="000000"/>
          <w:bdr w:val="nil"/>
          <w:lang w:eastAsia="sk-SK"/>
        </w:rPr>
        <w:t xml:space="preserve">the existed </w:t>
      </w:r>
      <w:r>
        <w:rPr>
          <w:rFonts w:ascii="Arial" w:eastAsia="Arial Unicode MS" w:hAnsi="Arial" w:cs="Arial"/>
          <w:sz w:val="24"/>
          <w:szCs w:val="24"/>
          <w:u w:color="000000"/>
          <w:bdr w:val="nil"/>
          <w:lang w:eastAsia="sk-SK"/>
        </w:rPr>
        <w:t>social services facilities</w:t>
      </w:r>
      <w:r w:rsidR="001E3EDC">
        <w:rPr>
          <w:rFonts w:ascii="Arial" w:eastAsia="Arial Unicode MS" w:hAnsi="Arial" w:cs="Arial"/>
          <w:sz w:val="24"/>
          <w:szCs w:val="24"/>
          <w:u w:color="000000"/>
          <w:bdr w:val="nil"/>
          <w:lang w:eastAsia="sk-SK"/>
        </w:rPr>
        <w:t>, with an aim to support their reconstruction and modernisation</w:t>
      </w:r>
      <w:r w:rsidR="001E3EDC" w:rsidRPr="001736BE">
        <w:rPr>
          <w:rFonts w:ascii="Arial" w:eastAsia="Arial Unicode MS" w:hAnsi="Arial" w:cs="Arial"/>
          <w:sz w:val="24"/>
          <w:szCs w:val="24"/>
          <w:u w:color="000000"/>
          <w:bdr w:val="nil"/>
          <w:lang w:eastAsia="sk-SK"/>
        </w:rPr>
        <w:t>.</w:t>
      </w:r>
      <w:r w:rsidR="001736BE" w:rsidRPr="001736BE">
        <w:rPr>
          <w:rFonts w:ascii="Arial" w:eastAsia="Arial Unicode MS" w:hAnsi="Arial" w:cs="Arial"/>
          <w:sz w:val="24"/>
          <w:szCs w:val="24"/>
          <w:u w:color="000000"/>
          <w:bdr w:val="nil"/>
          <w:lang w:eastAsia="sk-SK"/>
        </w:rPr>
        <w:t xml:space="preserve"> </w:t>
      </w:r>
      <w:r w:rsidR="001736BE" w:rsidRPr="001736BE">
        <w:rPr>
          <w:rFonts w:ascii="Arial" w:hAnsi="Arial" w:cs="Arial"/>
          <w:sz w:val="24"/>
          <w:szCs w:val="24"/>
          <w:lang w:val="sk-SK"/>
        </w:rPr>
        <w:t xml:space="preserve">In May 2017 the call for deinstitutionalisation projects´ applications was issued and </w:t>
      </w:r>
      <w:r w:rsidR="00DF577A">
        <w:rPr>
          <w:rFonts w:ascii="Arial" w:hAnsi="Arial" w:cs="Arial"/>
          <w:sz w:val="24"/>
          <w:szCs w:val="24"/>
          <w:lang w:val="sk-SK"/>
        </w:rPr>
        <w:t>some</w:t>
      </w:r>
      <w:r w:rsidR="001736BE" w:rsidRPr="001736BE">
        <w:rPr>
          <w:rFonts w:ascii="Arial" w:hAnsi="Arial" w:cs="Arial"/>
          <w:sz w:val="24"/>
          <w:szCs w:val="24"/>
          <w:lang w:val="sk-SK"/>
        </w:rPr>
        <w:t xml:space="preserve"> new </w:t>
      </w:r>
      <w:r w:rsidR="001736BE">
        <w:rPr>
          <w:rFonts w:ascii="Arial" w:hAnsi="Arial" w:cs="Arial"/>
          <w:sz w:val="24"/>
          <w:szCs w:val="24"/>
          <w:lang w:val="sk-SK"/>
        </w:rPr>
        <w:t xml:space="preserve">call for applications to support community-based innitiatives </w:t>
      </w:r>
      <w:r w:rsidR="001736BE" w:rsidRPr="001736BE">
        <w:rPr>
          <w:rFonts w:ascii="Arial" w:hAnsi="Arial" w:cs="Arial"/>
          <w:sz w:val="24"/>
          <w:szCs w:val="24"/>
          <w:lang w:val="sk-SK"/>
        </w:rPr>
        <w:t xml:space="preserve"> is prepared </w:t>
      </w:r>
      <w:r w:rsidR="001736BE">
        <w:rPr>
          <w:rFonts w:ascii="Arial" w:hAnsi="Arial" w:cs="Arial"/>
          <w:sz w:val="24"/>
          <w:szCs w:val="24"/>
          <w:lang w:val="sk-SK"/>
        </w:rPr>
        <w:t>since</w:t>
      </w:r>
      <w:r w:rsidR="001736BE" w:rsidRPr="001736BE">
        <w:rPr>
          <w:rFonts w:ascii="Arial" w:hAnsi="Arial" w:cs="Arial"/>
          <w:sz w:val="24"/>
          <w:szCs w:val="24"/>
          <w:lang w:val="sk-SK"/>
        </w:rPr>
        <w:t xml:space="preserve"> March 2018</w:t>
      </w:r>
      <w:r w:rsidR="001736BE">
        <w:rPr>
          <w:rFonts w:ascii="Arial" w:hAnsi="Arial" w:cs="Arial"/>
          <w:sz w:val="24"/>
          <w:szCs w:val="24"/>
          <w:lang w:val="sk-SK"/>
        </w:rPr>
        <w:t>.</w:t>
      </w:r>
      <w:r w:rsidR="001E3EDC">
        <w:rPr>
          <w:rStyle w:val="FootnoteReference"/>
          <w:rFonts w:ascii="Arial" w:eastAsia="Arial Unicode MS" w:hAnsi="Arial" w:cs="Arial"/>
          <w:sz w:val="24"/>
          <w:szCs w:val="24"/>
          <w:u w:color="000000"/>
          <w:bdr w:val="nil"/>
          <w:lang w:eastAsia="sk-SK"/>
        </w:rPr>
        <w:footnoteReference w:id="50"/>
      </w:r>
      <w:r>
        <w:rPr>
          <w:rFonts w:ascii="Arial" w:eastAsia="Arial Unicode MS" w:hAnsi="Arial" w:cs="Arial"/>
          <w:sz w:val="24"/>
          <w:szCs w:val="24"/>
          <w:u w:color="000000"/>
          <w:bdr w:val="nil"/>
          <w:lang w:eastAsia="sk-SK"/>
        </w:rPr>
        <w:t xml:space="preserve"> </w:t>
      </w:r>
      <w:r w:rsidR="001E3EDC">
        <w:rPr>
          <w:rFonts w:ascii="Arial" w:eastAsia="Arial Unicode MS" w:hAnsi="Arial" w:cs="Arial"/>
          <w:sz w:val="24"/>
          <w:szCs w:val="24"/>
          <w:u w:color="000000"/>
          <w:bdr w:val="nil"/>
          <w:lang w:eastAsia="sk-SK"/>
        </w:rPr>
        <w:t xml:space="preserve">Another </w:t>
      </w:r>
      <w:r w:rsidR="009C4A70">
        <w:rPr>
          <w:rFonts w:ascii="Arial" w:eastAsia="Arial Unicode MS" w:hAnsi="Arial" w:cs="Arial"/>
          <w:sz w:val="24"/>
          <w:szCs w:val="24"/>
          <w:u w:color="000000"/>
          <w:bdr w:val="nil"/>
          <w:lang w:eastAsia="sk-SK"/>
        </w:rPr>
        <w:t>DI</w:t>
      </w:r>
      <w:r w:rsidR="001E3EDC">
        <w:rPr>
          <w:rFonts w:ascii="Arial" w:eastAsia="Arial Unicode MS" w:hAnsi="Arial" w:cs="Arial"/>
          <w:sz w:val="24"/>
          <w:szCs w:val="24"/>
          <w:u w:color="000000"/>
          <w:bdr w:val="nil"/>
          <w:lang w:eastAsia="sk-SK"/>
        </w:rPr>
        <w:t xml:space="preserve"> initiative refers the </w:t>
      </w:r>
      <w:r w:rsidR="001736BE">
        <w:rPr>
          <w:rFonts w:ascii="Arial" w:eastAsia="Arial Unicode MS" w:hAnsi="Arial" w:cs="Arial"/>
          <w:sz w:val="24"/>
          <w:szCs w:val="24"/>
          <w:u w:color="000000"/>
          <w:bdr w:val="nil"/>
          <w:lang w:eastAsia="sk-SK"/>
        </w:rPr>
        <w:t xml:space="preserve">ESF, namely to the </w:t>
      </w:r>
      <w:r w:rsidR="001E3EDC">
        <w:rPr>
          <w:rFonts w:ascii="Arial" w:eastAsia="Arial Unicode MS" w:hAnsi="Arial" w:cs="Arial"/>
          <w:sz w:val="24"/>
          <w:szCs w:val="24"/>
          <w:u w:color="000000"/>
          <w:bdr w:val="nil"/>
          <w:lang w:eastAsia="sk-SK"/>
        </w:rPr>
        <w:t xml:space="preserve">Operational Program Human Resources through which </w:t>
      </w:r>
      <w:r w:rsidR="001736BE">
        <w:rPr>
          <w:rFonts w:ascii="Arial" w:eastAsia="Arial Unicode MS" w:hAnsi="Arial" w:cs="Arial"/>
          <w:sz w:val="24"/>
          <w:szCs w:val="24"/>
          <w:u w:color="000000"/>
          <w:bdr w:val="nil"/>
          <w:lang w:eastAsia="sk-SK"/>
        </w:rPr>
        <w:t>totally 96</w:t>
      </w:r>
      <w:r w:rsidR="001E3EDC">
        <w:rPr>
          <w:rFonts w:ascii="Arial" w:eastAsia="Arial Unicode MS" w:hAnsi="Arial" w:cs="Arial"/>
          <w:sz w:val="24"/>
          <w:szCs w:val="24"/>
          <w:u w:color="000000"/>
          <w:bdr w:val="nil"/>
          <w:lang w:eastAsia="sk-SK"/>
        </w:rPr>
        <w:t xml:space="preserve"> social services facilities </w:t>
      </w:r>
      <w:r w:rsidR="0087240F">
        <w:rPr>
          <w:rFonts w:ascii="Arial" w:eastAsia="Arial Unicode MS" w:hAnsi="Arial" w:cs="Arial"/>
          <w:sz w:val="24"/>
          <w:szCs w:val="24"/>
          <w:u w:color="000000"/>
          <w:bdr w:val="nil"/>
          <w:lang w:eastAsia="sk-SK"/>
        </w:rPr>
        <w:t>will be supported in their transformation</w:t>
      </w:r>
      <w:r w:rsidR="009C4A70">
        <w:rPr>
          <w:rFonts w:ascii="Arial" w:eastAsia="Arial Unicode MS" w:hAnsi="Arial" w:cs="Arial"/>
          <w:sz w:val="24"/>
          <w:szCs w:val="24"/>
          <w:u w:color="000000"/>
          <w:bdr w:val="nil"/>
          <w:lang w:eastAsia="sk-SK"/>
        </w:rPr>
        <w:t>al process</w:t>
      </w:r>
      <w:r w:rsidR="0087240F">
        <w:rPr>
          <w:rFonts w:ascii="Arial" w:eastAsia="Arial Unicode MS" w:hAnsi="Arial" w:cs="Arial"/>
          <w:sz w:val="24"/>
          <w:szCs w:val="24"/>
          <w:u w:color="000000"/>
          <w:bdr w:val="nil"/>
          <w:lang w:eastAsia="sk-SK"/>
        </w:rPr>
        <w:t xml:space="preserve"> by the national project </w:t>
      </w:r>
      <w:r w:rsidR="001736BE">
        <w:rPr>
          <w:rFonts w:ascii="Arial" w:eastAsia="Arial Unicode MS" w:hAnsi="Arial" w:cs="Arial"/>
          <w:sz w:val="24"/>
          <w:szCs w:val="24"/>
          <w:u w:color="000000"/>
          <w:bdr w:val="nil"/>
          <w:lang w:eastAsia="sk-SK"/>
        </w:rPr>
        <w:t>“</w:t>
      </w:r>
      <w:r w:rsidR="0087240F" w:rsidRPr="001736BE">
        <w:rPr>
          <w:rFonts w:ascii="Arial" w:eastAsia="Arial Unicode MS" w:hAnsi="Arial" w:cs="Arial"/>
          <w:i/>
          <w:sz w:val="24"/>
          <w:szCs w:val="24"/>
          <w:u w:color="000000"/>
          <w:bdr w:val="nil"/>
          <w:lang w:eastAsia="sk-SK"/>
        </w:rPr>
        <w:t>Deinstitutionalisation of social services facilities – Support of t</w:t>
      </w:r>
      <w:r w:rsidR="00DF577A">
        <w:rPr>
          <w:rFonts w:ascii="Arial" w:eastAsia="Arial Unicode MS" w:hAnsi="Arial" w:cs="Arial"/>
          <w:i/>
          <w:sz w:val="24"/>
          <w:szCs w:val="24"/>
          <w:u w:color="000000"/>
          <w:bdr w:val="nil"/>
          <w:lang w:eastAsia="sk-SK"/>
        </w:rPr>
        <w:t>ransfor</w:t>
      </w:r>
      <w:r w:rsidR="002E5430">
        <w:rPr>
          <w:rFonts w:ascii="Arial" w:eastAsia="Arial Unicode MS" w:hAnsi="Arial" w:cs="Arial"/>
          <w:i/>
          <w:sz w:val="24"/>
          <w:szCs w:val="24"/>
          <w:u w:color="000000"/>
          <w:bdr w:val="nil"/>
          <w:lang w:eastAsia="sk-SK"/>
        </w:rPr>
        <w:t>ma</w:t>
      </w:r>
      <w:r w:rsidR="0087240F" w:rsidRPr="001736BE">
        <w:rPr>
          <w:rFonts w:ascii="Arial" w:eastAsia="Arial Unicode MS" w:hAnsi="Arial" w:cs="Arial"/>
          <w:i/>
          <w:sz w:val="24"/>
          <w:szCs w:val="24"/>
          <w:u w:color="000000"/>
          <w:bdr w:val="nil"/>
          <w:lang w:eastAsia="sk-SK"/>
        </w:rPr>
        <w:t>tional teams</w:t>
      </w:r>
      <w:r w:rsidR="001736BE">
        <w:rPr>
          <w:rFonts w:ascii="Arial" w:eastAsia="Arial Unicode MS" w:hAnsi="Arial" w:cs="Arial"/>
          <w:sz w:val="24"/>
          <w:szCs w:val="24"/>
          <w:u w:color="000000"/>
          <w:bdr w:val="nil"/>
          <w:lang w:eastAsia="sk-SK"/>
        </w:rPr>
        <w:t>”</w:t>
      </w:r>
      <w:r w:rsidR="009C4A70">
        <w:rPr>
          <w:rFonts w:ascii="Arial" w:eastAsia="Arial Unicode MS" w:hAnsi="Arial" w:cs="Arial"/>
          <w:sz w:val="24"/>
          <w:szCs w:val="24"/>
          <w:u w:color="000000"/>
          <w:bdr w:val="nil"/>
          <w:lang w:eastAsia="sk-SK"/>
        </w:rPr>
        <w:t>,</w:t>
      </w:r>
      <w:r w:rsidR="0087240F">
        <w:rPr>
          <w:rFonts w:ascii="Arial" w:eastAsia="Arial Unicode MS" w:hAnsi="Arial" w:cs="Arial"/>
          <w:sz w:val="24"/>
          <w:szCs w:val="24"/>
          <w:u w:color="000000"/>
          <w:bdr w:val="nil"/>
          <w:lang w:eastAsia="sk-SK"/>
        </w:rPr>
        <w:t xml:space="preserve"> up to 2023. </w:t>
      </w:r>
      <w:r w:rsidR="002E5430">
        <w:rPr>
          <w:rFonts w:ascii="Arial" w:eastAsia="Arial Unicode MS" w:hAnsi="Arial" w:cs="Arial"/>
          <w:sz w:val="24"/>
          <w:szCs w:val="24"/>
          <w:u w:color="000000"/>
          <w:bdr w:val="nil"/>
          <w:lang w:eastAsia="sk-SK"/>
        </w:rPr>
        <w:t xml:space="preserve">Currently, </w:t>
      </w:r>
      <w:r w:rsidR="0087240F">
        <w:rPr>
          <w:rFonts w:ascii="Arial" w:eastAsia="Arial Unicode MS" w:hAnsi="Arial" w:cs="Arial"/>
          <w:sz w:val="24"/>
          <w:szCs w:val="24"/>
          <w:u w:color="000000"/>
          <w:bdr w:val="nil"/>
          <w:lang w:eastAsia="sk-SK"/>
        </w:rPr>
        <w:lastRenderedPageBreak/>
        <w:t xml:space="preserve">there are some finalising administrative procedures to launch </w:t>
      </w:r>
      <w:r w:rsidR="009C4A70">
        <w:rPr>
          <w:rFonts w:ascii="Arial" w:eastAsia="Arial Unicode MS" w:hAnsi="Arial" w:cs="Arial"/>
          <w:sz w:val="24"/>
          <w:szCs w:val="24"/>
          <w:u w:color="000000"/>
          <w:bdr w:val="nil"/>
          <w:lang w:eastAsia="sk-SK"/>
        </w:rPr>
        <w:t>it</w:t>
      </w:r>
      <w:r w:rsidR="0087240F">
        <w:rPr>
          <w:rFonts w:ascii="Arial" w:eastAsia="Arial Unicode MS" w:hAnsi="Arial" w:cs="Arial"/>
          <w:sz w:val="24"/>
          <w:szCs w:val="24"/>
          <w:u w:color="000000"/>
          <w:bdr w:val="nil"/>
          <w:lang w:eastAsia="sk-SK"/>
        </w:rPr>
        <w:t xml:space="preserve"> as a continuation of the </w:t>
      </w:r>
      <w:r w:rsidR="009C4A70">
        <w:rPr>
          <w:rFonts w:ascii="Arial" w:eastAsia="Arial Unicode MS" w:hAnsi="Arial" w:cs="Arial"/>
          <w:sz w:val="24"/>
          <w:szCs w:val="24"/>
          <w:u w:color="000000"/>
          <w:bdr w:val="nil"/>
          <w:lang w:eastAsia="sk-SK"/>
        </w:rPr>
        <w:t xml:space="preserve">DI </w:t>
      </w:r>
      <w:r w:rsidR="0087240F">
        <w:rPr>
          <w:rFonts w:ascii="Arial" w:eastAsia="Arial Unicode MS" w:hAnsi="Arial" w:cs="Arial"/>
          <w:sz w:val="24"/>
          <w:szCs w:val="24"/>
          <w:u w:color="000000"/>
          <w:bdr w:val="nil"/>
          <w:lang w:eastAsia="sk-SK"/>
        </w:rPr>
        <w:t>national project from previous years</w:t>
      </w:r>
      <w:r w:rsidR="006C3173">
        <w:rPr>
          <w:rFonts w:ascii="Arial" w:eastAsia="Arial Unicode MS" w:hAnsi="Arial" w:cs="Arial"/>
          <w:sz w:val="24"/>
          <w:szCs w:val="24"/>
          <w:u w:color="000000"/>
          <w:bdr w:val="nil"/>
          <w:lang w:eastAsia="sk-SK"/>
        </w:rPr>
        <w:t>.</w:t>
      </w:r>
      <w:r w:rsidR="009C4A70">
        <w:rPr>
          <w:rStyle w:val="FootnoteReference"/>
          <w:rFonts w:ascii="Arial" w:eastAsia="Arial Unicode MS" w:hAnsi="Arial" w:cs="Arial"/>
          <w:sz w:val="24"/>
          <w:szCs w:val="24"/>
          <w:u w:color="000000"/>
          <w:bdr w:val="nil"/>
          <w:lang w:eastAsia="sk-SK"/>
        </w:rPr>
        <w:footnoteReference w:id="51"/>
      </w:r>
    </w:p>
    <w:p w14:paraId="5E6A3F9B" w14:textId="231BFDAE" w:rsidR="005144FC" w:rsidRPr="005A62BD" w:rsidRDefault="001736BE" w:rsidP="00D73FC4">
      <w:pPr>
        <w:spacing w:after="0"/>
        <w:jc w:val="both"/>
      </w:pPr>
      <w:r w:rsidRPr="005034C1">
        <w:t xml:space="preserve">Despite some improvements in the field of deinstitutionalisation and community-based care in Slovakia, a clear national strategy of deinstitutionalisation is missing. Current and forthcoming DI initiatives are rather project- than systematic-based. </w:t>
      </w:r>
      <w:r w:rsidR="005144FC" w:rsidRPr="005A62BD">
        <w:t>Therefore, a need to adopt a Strategic Framework on developing social services up to 2030 in Slovakia, was highlighted in the document “The National priorities for improving of social services in years 2015-2020” (National, 2014)</w:t>
      </w:r>
      <w:r w:rsidR="005144FC" w:rsidRPr="005A62BD">
        <w:rPr>
          <w:vertAlign w:val="superscript"/>
        </w:rPr>
        <w:footnoteReference w:id="52"/>
      </w:r>
      <w:r w:rsidR="00003B23" w:rsidRPr="005A62BD">
        <w:t xml:space="preserve"> and remains still topical.</w:t>
      </w:r>
    </w:p>
    <w:p w14:paraId="2D170E87" w14:textId="77777777" w:rsidR="00D254A5" w:rsidRPr="005A62BD" w:rsidRDefault="00D254A5" w:rsidP="00D73FC4">
      <w:pPr>
        <w:spacing w:after="0"/>
        <w:jc w:val="both"/>
      </w:pPr>
    </w:p>
    <w:p w14:paraId="68951620" w14:textId="77777777" w:rsidR="0010423F" w:rsidRPr="005A62BD" w:rsidRDefault="001E4166" w:rsidP="00D73FC4">
      <w:pPr>
        <w:pStyle w:val="Heading2"/>
        <w:rPr>
          <w:lang w:eastAsia="en-GB"/>
        </w:rPr>
      </w:pPr>
      <w:bookmarkStart w:id="35" w:name="_Toc499120885"/>
      <w:r w:rsidRPr="005A62BD">
        <w:rPr>
          <w:lang w:eastAsia="en-GB"/>
        </w:rPr>
        <w:t>S</w:t>
      </w:r>
      <w:r w:rsidR="0010423F" w:rsidRPr="005A62BD">
        <w:rPr>
          <w:lang w:eastAsia="en-GB"/>
        </w:rPr>
        <w:t xml:space="preserve">ynergies between </w:t>
      </w:r>
      <w:r w:rsidRPr="005A62BD">
        <w:rPr>
          <w:lang w:eastAsia="en-GB"/>
        </w:rPr>
        <w:t>developments in the different areas</w:t>
      </w:r>
      <w:bookmarkEnd w:id="35"/>
    </w:p>
    <w:p w14:paraId="3A7EB599" w14:textId="77777777" w:rsidR="00B24359" w:rsidRPr="005A62BD" w:rsidRDefault="00B24359" w:rsidP="00D73FC4">
      <w:pPr>
        <w:spacing w:after="0"/>
        <w:jc w:val="both"/>
        <w:rPr>
          <w:lang w:eastAsia="en-GB"/>
        </w:rPr>
      </w:pPr>
    </w:p>
    <w:p w14:paraId="2A097E9B" w14:textId="10A299B9" w:rsidR="005144FC" w:rsidRPr="005A62BD" w:rsidRDefault="005144FC" w:rsidP="00D73FC4">
      <w:pPr>
        <w:spacing w:after="0"/>
        <w:jc w:val="both"/>
      </w:pPr>
      <w:r w:rsidRPr="005A62BD">
        <w:t xml:space="preserve">Slovakia makes </w:t>
      </w:r>
      <w:r w:rsidR="00A963CD" w:rsidRPr="005A62BD">
        <w:t xml:space="preserve">some </w:t>
      </w:r>
      <w:r w:rsidRPr="005A62BD">
        <w:t>efforts to sustain some synergies between different policy areas which might have an impact on situation of PWD, namely:</w:t>
      </w:r>
    </w:p>
    <w:p w14:paraId="494AD9D9" w14:textId="77777777" w:rsidR="00D254A5" w:rsidRPr="005A62BD" w:rsidRDefault="00D254A5" w:rsidP="00D73FC4">
      <w:pPr>
        <w:spacing w:after="0"/>
        <w:jc w:val="both"/>
      </w:pPr>
    </w:p>
    <w:p w14:paraId="579435FE" w14:textId="5B8292B6" w:rsidR="00A963CD" w:rsidRPr="005A62BD" w:rsidRDefault="00A963CD" w:rsidP="00D73FC4">
      <w:pPr>
        <w:pStyle w:val="ListParagraph"/>
        <w:numPr>
          <w:ilvl w:val="0"/>
          <w:numId w:val="22"/>
        </w:numPr>
        <w:spacing w:after="0"/>
        <w:ind w:left="567" w:hanging="567"/>
        <w:jc w:val="both"/>
      </w:pPr>
      <w:r w:rsidRPr="005A62BD">
        <w:t xml:space="preserve">The proposal of the </w:t>
      </w:r>
      <w:r w:rsidRPr="005A62BD">
        <w:rPr>
          <w:i/>
        </w:rPr>
        <w:t>Action Plan on The Transition from Sheltered Workshops to the Open Labour Market</w:t>
      </w:r>
      <w:r w:rsidRPr="005A62BD">
        <w:t xml:space="preserve"> contains a measure to conduct a research on the participation of people living in </w:t>
      </w:r>
      <w:r w:rsidR="00F30B9C" w:rsidRPr="005A62BD">
        <w:t>residential social care settings</w:t>
      </w:r>
      <w:r w:rsidRPr="005A62BD">
        <w:t xml:space="preserve"> in the labour market in context of deinstitutionalisation of social services</w:t>
      </w:r>
      <w:r w:rsidR="006C3173">
        <w:t>.</w:t>
      </w:r>
      <w:r w:rsidRPr="005A62BD">
        <w:t xml:space="preserve"> </w:t>
      </w:r>
    </w:p>
    <w:p w14:paraId="6BE83B25" w14:textId="77777777" w:rsidR="005144FC" w:rsidRPr="005A62BD" w:rsidRDefault="005144FC" w:rsidP="00D73FC4">
      <w:pPr>
        <w:pStyle w:val="ListParagraph"/>
        <w:numPr>
          <w:ilvl w:val="0"/>
          <w:numId w:val="22"/>
        </w:numPr>
        <w:spacing w:after="0"/>
        <w:ind w:left="567" w:hanging="567"/>
        <w:contextualSpacing w:val="0"/>
        <w:jc w:val="both"/>
      </w:pPr>
      <w:r w:rsidRPr="005A62BD">
        <w:rPr>
          <w:i/>
        </w:rPr>
        <w:t>Synergies between parenting and working policies</w:t>
      </w:r>
      <w:r w:rsidRPr="005A62BD">
        <w:t xml:space="preserve"> (work-life balance)</w:t>
      </w:r>
    </w:p>
    <w:p w14:paraId="4731ED88" w14:textId="77777777" w:rsidR="005144FC" w:rsidRPr="005A62BD" w:rsidRDefault="005144FC" w:rsidP="00D73FC4">
      <w:pPr>
        <w:pStyle w:val="ListParagraph"/>
        <w:spacing w:after="0"/>
        <w:ind w:left="567"/>
        <w:contextualSpacing w:val="0"/>
        <w:jc w:val="both"/>
      </w:pPr>
      <w:r w:rsidRPr="005A62BD">
        <w:t xml:space="preserve">To increase employment participation of young parents (including young parents with children with disabilities) some reconciliation measures were and will be adopted. Since January 2016 an amount of the allowance for child care provided by non-public providers was increased from 230€/monthly up to 280€/monthly. Moreover, there is an ambition to set up early childhood education facilities for children under the age of three as a new type of social service since January 2017 (for more details see section 4.3). </w:t>
      </w:r>
    </w:p>
    <w:p w14:paraId="56CC3556" w14:textId="77777777" w:rsidR="005144FC" w:rsidRPr="005A62BD" w:rsidRDefault="005144FC" w:rsidP="00D73FC4">
      <w:pPr>
        <w:pStyle w:val="ListParagraph"/>
        <w:numPr>
          <w:ilvl w:val="0"/>
          <w:numId w:val="22"/>
        </w:numPr>
        <w:spacing w:after="0"/>
        <w:ind w:left="567" w:hanging="567"/>
        <w:contextualSpacing w:val="0"/>
        <w:jc w:val="both"/>
        <w:rPr>
          <w:i/>
        </w:rPr>
      </w:pPr>
      <w:r w:rsidRPr="005A62BD">
        <w:rPr>
          <w:i/>
        </w:rPr>
        <w:t xml:space="preserve">Synergies between education and work (the Dual education) </w:t>
      </w:r>
    </w:p>
    <w:p w14:paraId="732718E7" w14:textId="77777777" w:rsidR="005144FC" w:rsidRPr="005A62BD" w:rsidRDefault="005144FC" w:rsidP="00D73FC4">
      <w:pPr>
        <w:pStyle w:val="ListParagraph"/>
        <w:spacing w:after="0"/>
        <w:ind w:left="567"/>
        <w:jc w:val="both"/>
      </w:pPr>
      <w:r w:rsidRPr="005A62BD">
        <w:t xml:space="preserve">As mentioned also in the previous report, there is a space to interlink education and work and support the transition of young people with disabilities from school to work within the dual education system. However, after the first year of this scheme, it is not clear how pupils with disabilities benefited of it. </w:t>
      </w:r>
    </w:p>
    <w:p w14:paraId="3DF34F01" w14:textId="77777777" w:rsidR="00D254A5" w:rsidRPr="005A62BD" w:rsidRDefault="00D254A5" w:rsidP="00D73FC4">
      <w:pPr>
        <w:spacing w:after="0"/>
        <w:jc w:val="both"/>
      </w:pPr>
    </w:p>
    <w:p w14:paraId="3A2AA138" w14:textId="0DE86B4F" w:rsidR="005144FC" w:rsidRPr="005A62BD" w:rsidRDefault="00F30B9C" w:rsidP="00D73FC4">
      <w:pPr>
        <w:spacing w:after="0"/>
        <w:jc w:val="both"/>
      </w:pPr>
      <w:r w:rsidRPr="005A62BD">
        <w:t>Some initial steps have been done to improve</w:t>
      </w:r>
      <w:r w:rsidR="005144FC" w:rsidRPr="005A62BD">
        <w:rPr>
          <w:i/>
        </w:rPr>
        <w:t xml:space="preserve"> synergies between social services, health care and education in </w:t>
      </w:r>
      <w:r w:rsidR="005144FC" w:rsidRPr="005A62BD">
        <w:t xml:space="preserve">the </w:t>
      </w:r>
      <w:r w:rsidR="005144FC" w:rsidRPr="005A62BD">
        <w:rPr>
          <w:i/>
        </w:rPr>
        <w:t xml:space="preserve">early intervention system. </w:t>
      </w:r>
      <w:r w:rsidR="005144FC" w:rsidRPr="005A62BD">
        <w:t>This issue has</w:t>
      </w:r>
      <w:r w:rsidR="005A62BD">
        <w:t xml:space="preserve"> </w:t>
      </w:r>
      <w:r w:rsidR="005144FC" w:rsidRPr="005A62BD">
        <w:t xml:space="preserve">been raised in the Concluding observations in a following way: </w:t>
      </w:r>
    </w:p>
    <w:p w14:paraId="1077C29B" w14:textId="77777777" w:rsidR="00D254A5" w:rsidRPr="005A62BD" w:rsidRDefault="00D254A5" w:rsidP="00D73FC4">
      <w:pPr>
        <w:spacing w:after="0"/>
        <w:jc w:val="both"/>
        <w:rPr>
          <w:i/>
        </w:rPr>
      </w:pPr>
    </w:p>
    <w:p w14:paraId="5D715EF1" w14:textId="77777777" w:rsidR="005144FC" w:rsidRPr="005A62BD" w:rsidRDefault="005144FC" w:rsidP="00D73FC4">
      <w:pPr>
        <w:pStyle w:val="Default"/>
        <w:ind w:left="567"/>
        <w:jc w:val="both"/>
        <w:rPr>
          <w:rFonts w:ascii="Arial" w:hAnsi="Arial" w:cs="Arial"/>
          <w:i/>
          <w:color w:val="auto"/>
          <w:lang w:val="en-GB"/>
        </w:rPr>
      </w:pPr>
      <w:r w:rsidRPr="005A62BD">
        <w:rPr>
          <w:rFonts w:ascii="Arial" w:hAnsi="Arial" w:cs="Arial"/>
          <w:color w:val="auto"/>
          <w:lang w:val="en-GB"/>
        </w:rPr>
        <w:t>“</w:t>
      </w:r>
      <w:r w:rsidRPr="005A62BD">
        <w:rPr>
          <w:rFonts w:ascii="Arial" w:hAnsi="Arial" w:cs="Arial"/>
          <w:i/>
          <w:color w:val="auto"/>
          <w:lang w:val="en-GB"/>
        </w:rPr>
        <w:t xml:space="preserve">25. The Committee is concerned that there is a significant lack of early intervention and early diagnosis services in the health, social and educational </w:t>
      </w:r>
      <w:r w:rsidRPr="005A62BD">
        <w:rPr>
          <w:rFonts w:ascii="Arial" w:hAnsi="Arial" w:cs="Arial"/>
          <w:i/>
          <w:color w:val="auto"/>
          <w:lang w:val="en-GB"/>
        </w:rPr>
        <w:lastRenderedPageBreak/>
        <w:t xml:space="preserve">areas and that financial support for families with children with disabilities requiring early intervention is insufficient. </w:t>
      </w:r>
    </w:p>
    <w:p w14:paraId="61542AF3" w14:textId="77777777" w:rsidR="005144FC" w:rsidRPr="005A62BD" w:rsidRDefault="005144FC" w:rsidP="00D73FC4">
      <w:pPr>
        <w:pStyle w:val="Default"/>
        <w:ind w:left="567"/>
        <w:jc w:val="both"/>
        <w:rPr>
          <w:rFonts w:ascii="Arial" w:hAnsi="Arial" w:cs="Arial"/>
          <w:bCs/>
          <w:i/>
          <w:color w:val="auto"/>
          <w:lang w:val="en-GB"/>
        </w:rPr>
      </w:pPr>
      <w:r w:rsidRPr="005A62BD">
        <w:rPr>
          <w:rFonts w:ascii="Arial" w:hAnsi="Arial" w:cs="Arial"/>
          <w:i/>
          <w:color w:val="auto"/>
          <w:lang w:val="en-GB"/>
        </w:rPr>
        <w:t xml:space="preserve">26. </w:t>
      </w:r>
      <w:r w:rsidRPr="005A62BD">
        <w:rPr>
          <w:rFonts w:ascii="Arial" w:hAnsi="Arial" w:cs="Arial"/>
          <w:bCs/>
          <w:i/>
          <w:color w:val="auto"/>
          <w:lang w:val="en-GB"/>
        </w:rPr>
        <w:t>The Committee recommends that the State party develop a holistic and comprehensive network of health and social care services for the early diagnosis and intervention for children with disabilities, in close consultation with their representative organizations, and increase financial support for their families using</w:t>
      </w:r>
      <w:r w:rsidR="00375C64" w:rsidRPr="005A62BD">
        <w:rPr>
          <w:rFonts w:ascii="Arial" w:hAnsi="Arial" w:cs="Arial"/>
          <w:bCs/>
          <w:i/>
          <w:color w:val="auto"/>
          <w:lang w:val="en-GB"/>
        </w:rPr>
        <w:t xml:space="preserve"> public resources.”</w:t>
      </w:r>
      <w:r w:rsidRPr="005A62BD">
        <w:rPr>
          <w:rFonts w:ascii="Arial" w:hAnsi="Arial" w:cs="Arial"/>
          <w:bCs/>
          <w:i/>
          <w:color w:val="auto"/>
          <w:lang w:val="en-GB"/>
        </w:rPr>
        <w:t xml:space="preserve"> </w:t>
      </w:r>
    </w:p>
    <w:p w14:paraId="75009F97" w14:textId="77777777" w:rsidR="00F30B9C" w:rsidRPr="005A62BD" w:rsidRDefault="00F30B9C" w:rsidP="00D73FC4">
      <w:pPr>
        <w:pStyle w:val="Default"/>
        <w:jc w:val="both"/>
        <w:rPr>
          <w:rFonts w:ascii="Arial" w:hAnsi="Arial" w:cs="Arial"/>
          <w:bCs/>
          <w:color w:val="auto"/>
          <w:lang w:val="en-GB"/>
        </w:rPr>
      </w:pPr>
    </w:p>
    <w:p w14:paraId="33F7529A" w14:textId="6EFA74C2" w:rsidR="00F30B9C" w:rsidRPr="005A62BD" w:rsidRDefault="009B3A70" w:rsidP="00D73FC4">
      <w:pPr>
        <w:pStyle w:val="Default"/>
        <w:jc w:val="both"/>
        <w:rPr>
          <w:rFonts w:ascii="Arial" w:hAnsi="Arial" w:cs="Arial"/>
          <w:bCs/>
          <w:color w:val="auto"/>
          <w:lang w:val="en-GB"/>
        </w:rPr>
      </w:pPr>
      <w:r w:rsidRPr="005A62BD">
        <w:rPr>
          <w:rFonts w:ascii="Arial" w:hAnsi="Arial" w:cs="Arial"/>
          <w:bCs/>
          <w:color w:val="auto"/>
          <w:lang w:val="en-GB"/>
        </w:rPr>
        <w:t xml:space="preserve">In September 2016 the </w:t>
      </w:r>
      <w:r w:rsidRPr="005A62BD">
        <w:rPr>
          <w:rFonts w:ascii="Arial" w:hAnsi="Arial" w:cs="Arial"/>
          <w:bCs/>
          <w:i/>
          <w:color w:val="auto"/>
          <w:lang w:val="en-GB"/>
        </w:rPr>
        <w:t>Platform on families of children with disabilities (</w:t>
      </w:r>
      <w:proofErr w:type="spellStart"/>
      <w:r w:rsidRPr="005A62BD">
        <w:rPr>
          <w:rFonts w:ascii="Arial" w:hAnsi="Arial" w:cs="Arial"/>
          <w:bCs/>
          <w:i/>
          <w:color w:val="auto"/>
          <w:lang w:val="en-GB"/>
        </w:rPr>
        <w:t>Platforma</w:t>
      </w:r>
      <w:proofErr w:type="spellEnd"/>
      <w:r w:rsidRPr="005A62BD">
        <w:rPr>
          <w:rFonts w:ascii="Arial" w:hAnsi="Arial" w:cs="Arial"/>
          <w:bCs/>
          <w:i/>
          <w:color w:val="auto"/>
          <w:lang w:val="en-GB"/>
        </w:rPr>
        <w:t xml:space="preserve"> </w:t>
      </w:r>
      <w:proofErr w:type="spellStart"/>
      <w:r w:rsidRPr="005A62BD">
        <w:rPr>
          <w:rFonts w:ascii="Arial" w:hAnsi="Arial" w:cs="Arial"/>
          <w:bCs/>
          <w:i/>
          <w:color w:val="auto"/>
          <w:lang w:val="en-GB"/>
        </w:rPr>
        <w:t>rodín</w:t>
      </w:r>
      <w:proofErr w:type="spellEnd"/>
      <w:r w:rsidRPr="005A62BD">
        <w:rPr>
          <w:rFonts w:ascii="Arial" w:hAnsi="Arial" w:cs="Arial"/>
          <w:bCs/>
          <w:i/>
          <w:color w:val="auto"/>
          <w:lang w:val="en-GB"/>
        </w:rPr>
        <w:t xml:space="preserve"> </w:t>
      </w:r>
      <w:proofErr w:type="spellStart"/>
      <w:r w:rsidRPr="005A62BD">
        <w:rPr>
          <w:rFonts w:ascii="Arial" w:hAnsi="Arial" w:cs="Arial"/>
          <w:bCs/>
          <w:i/>
          <w:color w:val="auto"/>
          <w:lang w:val="en-GB"/>
        </w:rPr>
        <w:t>detí</w:t>
      </w:r>
      <w:proofErr w:type="spellEnd"/>
      <w:r w:rsidRPr="005A62BD">
        <w:rPr>
          <w:rFonts w:ascii="Arial" w:hAnsi="Arial" w:cs="Arial"/>
          <w:bCs/>
          <w:i/>
          <w:color w:val="auto"/>
          <w:lang w:val="en-GB"/>
        </w:rPr>
        <w:t xml:space="preserve"> so </w:t>
      </w:r>
      <w:proofErr w:type="spellStart"/>
      <w:r w:rsidRPr="005A62BD">
        <w:rPr>
          <w:rFonts w:ascii="Arial" w:hAnsi="Arial" w:cs="Arial"/>
          <w:bCs/>
          <w:i/>
          <w:color w:val="auto"/>
          <w:lang w:val="en-GB"/>
        </w:rPr>
        <w:t>zdravotným</w:t>
      </w:r>
      <w:proofErr w:type="spellEnd"/>
      <w:r w:rsidRPr="005A62BD">
        <w:rPr>
          <w:rFonts w:ascii="Arial" w:hAnsi="Arial" w:cs="Arial"/>
          <w:bCs/>
          <w:i/>
          <w:color w:val="auto"/>
          <w:lang w:val="en-GB"/>
        </w:rPr>
        <w:t xml:space="preserve"> </w:t>
      </w:r>
      <w:proofErr w:type="spellStart"/>
      <w:r w:rsidRPr="005A62BD">
        <w:rPr>
          <w:rFonts w:ascii="Arial" w:hAnsi="Arial" w:cs="Arial"/>
          <w:bCs/>
          <w:i/>
          <w:color w:val="auto"/>
          <w:lang w:val="en-GB"/>
        </w:rPr>
        <w:t>znevýhodnením</w:t>
      </w:r>
      <w:proofErr w:type="spellEnd"/>
      <w:r w:rsidRPr="005A62BD">
        <w:rPr>
          <w:rFonts w:ascii="Arial" w:hAnsi="Arial" w:cs="Arial"/>
          <w:bCs/>
          <w:i/>
          <w:color w:val="auto"/>
          <w:lang w:val="en-GB"/>
        </w:rPr>
        <w:t>)</w:t>
      </w:r>
      <w:r w:rsidRPr="005A62BD">
        <w:rPr>
          <w:rFonts w:ascii="Arial" w:hAnsi="Arial" w:cs="Arial"/>
          <w:bCs/>
          <w:color w:val="auto"/>
          <w:lang w:val="en-GB"/>
        </w:rPr>
        <w:t xml:space="preserve"> was set up and next, since 2017 the </w:t>
      </w:r>
      <w:r w:rsidRPr="005A62BD">
        <w:rPr>
          <w:rFonts w:ascii="Arial" w:hAnsi="Arial" w:cs="Arial"/>
          <w:bCs/>
          <w:i/>
          <w:color w:val="auto"/>
          <w:lang w:val="en-GB"/>
        </w:rPr>
        <w:t xml:space="preserve">Association of providers and supporters of early intervention services </w:t>
      </w:r>
      <w:r w:rsidR="00FF610E" w:rsidRPr="005A62BD">
        <w:rPr>
          <w:rFonts w:ascii="Arial" w:hAnsi="Arial" w:cs="Arial"/>
          <w:bCs/>
          <w:i/>
          <w:color w:val="auto"/>
          <w:lang w:val="en-GB"/>
        </w:rPr>
        <w:t>(</w:t>
      </w:r>
      <w:proofErr w:type="spellStart"/>
      <w:r w:rsidR="00FF610E" w:rsidRPr="005A62BD">
        <w:rPr>
          <w:rFonts w:ascii="Arial" w:hAnsi="Arial" w:cs="Arial"/>
          <w:bCs/>
          <w:i/>
          <w:color w:val="auto"/>
          <w:lang w:val="en-GB"/>
        </w:rPr>
        <w:t>Asociácia</w:t>
      </w:r>
      <w:proofErr w:type="spellEnd"/>
      <w:r w:rsidR="00FF610E" w:rsidRPr="005A62BD">
        <w:rPr>
          <w:rFonts w:ascii="Arial" w:hAnsi="Arial" w:cs="Arial"/>
          <w:bCs/>
          <w:i/>
          <w:color w:val="auto"/>
          <w:lang w:val="en-GB"/>
        </w:rPr>
        <w:t xml:space="preserve"> </w:t>
      </w:r>
      <w:proofErr w:type="spellStart"/>
      <w:r w:rsidR="00FF610E" w:rsidRPr="005A62BD">
        <w:rPr>
          <w:rFonts w:ascii="Arial" w:hAnsi="Arial" w:cs="Arial"/>
          <w:bCs/>
          <w:i/>
          <w:color w:val="auto"/>
          <w:lang w:val="en-GB"/>
        </w:rPr>
        <w:t>poskytovateľov</w:t>
      </w:r>
      <w:proofErr w:type="spellEnd"/>
      <w:r w:rsidR="00FF610E" w:rsidRPr="005A62BD">
        <w:rPr>
          <w:rFonts w:ascii="Arial" w:hAnsi="Arial" w:cs="Arial"/>
          <w:bCs/>
          <w:i/>
          <w:color w:val="auto"/>
          <w:lang w:val="en-GB"/>
        </w:rPr>
        <w:t xml:space="preserve"> a </w:t>
      </w:r>
      <w:proofErr w:type="spellStart"/>
      <w:r w:rsidR="00FF610E" w:rsidRPr="005A62BD">
        <w:rPr>
          <w:rFonts w:ascii="Arial" w:hAnsi="Arial" w:cs="Arial"/>
          <w:bCs/>
          <w:i/>
          <w:color w:val="auto"/>
          <w:lang w:val="en-GB"/>
        </w:rPr>
        <w:t>podporovateľov</w:t>
      </w:r>
      <w:proofErr w:type="spellEnd"/>
      <w:r w:rsidR="005A62BD">
        <w:rPr>
          <w:rFonts w:ascii="Arial" w:hAnsi="Arial" w:cs="Arial"/>
          <w:bCs/>
          <w:i/>
          <w:color w:val="auto"/>
          <w:lang w:val="en-GB"/>
        </w:rPr>
        <w:t xml:space="preserve"> </w:t>
      </w:r>
      <w:proofErr w:type="spellStart"/>
      <w:r w:rsidR="00FF610E" w:rsidRPr="005A62BD">
        <w:rPr>
          <w:rFonts w:ascii="Arial" w:hAnsi="Arial" w:cs="Arial"/>
          <w:bCs/>
          <w:i/>
          <w:color w:val="auto"/>
          <w:lang w:val="en-GB"/>
        </w:rPr>
        <w:t>včasnej</w:t>
      </w:r>
      <w:proofErr w:type="spellEnd"/>
      <w:r w:rsidR="00FF610E" w:rsidRPr="005A62BD">
        <w:rPr>
          <w:rFonts w:ascii="Arial" w:hAnsi="Arial" w:cs="Arial"/>
          <w:bCs/>
          <w:i/>
          <w:color w:val="auto"/>
          <w:lang w:val="en-GB"/>
        </w:rPr>
        <w:t xml:space="preserve"> </w:t>
      </w:r>
      <w:proofErr w:type="spellStart"/>
      <w:r w:rsidR="00FF610E" w:rsidRPr="005A62BD">
        <w:rPr>
          <w:rFonts w:ascii="Arial" w:hAnsi="Arial" w:cs="Arial"/>
          <w:bCs/>
          <w:i/>
          <w:color w:val="auto"/>
          <w:lang w:val="en-GB"/>
        </w:rPr>
        <w:t>intervencie</w:t>
      </w:r>
      <w:proofErr w:type="spellEnd"/>
      <w:r w:rsidR="00FF610E" w:rsidRPr="005A62BD">
        <w:rPr>
          <w:rFonts w:ascii="Arial" w:hAnsi="Arial" w:cs="Arial"/>
          <w:bCs/>
          <w:i/>
          <w:color w:val="auto"/>
          <w:lang w:val="en-GB"/>
        </w:rPr>
        <w:t>)</w:t>
      </w:r>
      <w:r w:rsidR="00FF610E" w:rsidRPr="005A62BD">
        <w:rPr>
          <w:rStyle w:val="FootnoteReference"/>
          <w:rFonts w:ascii="Arial" w:hAnsi="Arial" w:cs="Arial"/>
          <w:bCs/>
          <w:i/>
          <w:color w:val="auto"/>
          <w:lang w:val="en-GB"/>
        </w:rPr>
        <w:footnoteReference w:id="53"/>
      </w:r>
      <w:r w:rsidR="00FF610E" w:rsidRPr="005A62BD">
        <w:rPr>
          <w:rFonts w:ascii="Arial" w:hAnsi="Arial" w:cs="Arial"/>
          <w:bCs/>
          <w:i/>
          <w:color w:val="auto"/>
          <w:lang w:val="en-GB"/>
        </w:rPr>
        <w:t xml:space="preserve"> </w:t>
      </w:r>
      <w:r w:rsidR="00FF610E" w:rsidRPr="005A62BD">
        <w:rPr>
          <w:rFonts w:ascii="Arial" w:hAnsi="Arial" w:cs="Arial"/>
          <w:bCs/>
          <w:color w:val="auto"/>
          <w:lang w:val="en-GB"/>
        </w:rPr>
        <w:t xml:space="preserve">has been </w:t>
      </w:r>
      <w:r w:rsidRPr="005A62BD">
        <w:rPr>
          <w:rFonts w:ascii="Arial" w:hAnsi="Arial" w:cs="Arial"/>
          <w:bCs/>
          <w:color w:val="auto"/>
          <w:lang w:val="en-GB"/>
        </w:rPr>
        <w:t xml:space="preserve">registered and started its activities. </w:t>
      </w:r>
      <w:r w:rsidR="00FF610E" w:rsidRPr="005A62BD">
        <w:rPr>
          <w:rFonts w:ascii="Arial" w:hAnsi="Arial" w:cs="Arial"/>
          <w:bCs/>
          <w:color w:val="auto"/>
          <w:lang w:val="en-GB"/>
        </w:rPr>
        <w:t>Up to June 2017 the Association has brought together totally 15 providers of early intervention service and started to prepare quality standards for this type of social service, including personal standards with an aim to bring together experts from health, social and education systems.</w:t>
      </w:r>
    </w:p>
    <w:p w14:paraId="3228A368" w14:textId="77777777" w:rsidR="00F30B9C" w:rsidRPr="005A62BD" w:rsidRDefault="00F30B9C" w:rsidP="00D73FC4">
      <w:pPr>
        <w:pStyle w:val="Default"/>
        <w:jc w:val="both"/>
        <w:rPr>
          <w:rFonts w:ascii="Arial" w:hAnsi="Arial" w:cs="Arial"/>
          <w:bCs/>
          <w:i/>
          <w:color w:val="auto"/>
          <w:lang w:val="en-GB"/>
        </w:rPr>
      </w:pPr>
    </w:p>
    <w:p w14:paraId="5C118EDE" w14:textId="77777777" w:rsidR="005144FC" w:rsidRPr="005A62BD" w:rsidRDefault="005144FC" w:rsidP="00D73FC4">
      <w:pPr>
        <w:pStyle w:val="Default"/>
        <w:jc w:val="both"/>
        <w:rPr>
          <w:rFonts w:ascii="Arial" w:hAnsi="Arial" w:cs="Arial"/>
          <w:color w:val="auto"/>
          <w:lang w:val="en-GB"/>
        </w:rPr>
      </w:pPr>
      <w:r w:rsidRPr="005A62BD">
        <w:rPr>
          <w:rFonts w:ascii="Arial" w:hAnsi="Arial" w:cs="Arial"/>
          <w:bCs/>
          <w:color w:val="auto"/>
          <w:lang w:val="en-GB"/>
        </w:rPr>
        <w:t xml:space="preserve">Besides that, the measures to include long-term unemployed in the labour market should be also open to economically inactive people – a major group of persons with disabilities in terms of their economic status. </w:t>
      </w:r>
    </w:p>
    <w:p w14:paraId="28A2BC6E" w14:textId="77777777" w:rsidR="005144FC" w:rsidRPr="005A62BD" w:rsidRDefault="005144FC" w:rsidP="00AB2EF5">
      <w:pPr>
        <w:spacing w:after="0"/>
        <w:rPr>
          <w:lang w:eastAsia="en-GB"/>
        </w:rPr>
      </w:pPr>
    </w:p>
    <w:p w14:paraId="0623A361" w14:textId="77777777" w:rsidR="0010423F" w:rsidRPr="005A62BD" w:rsidRDefault="004D01C6" w:rsidP="00D73FC4">
      <w:pPr>
        <w:pStyle w:val="Heading1"/>
        <w:jc w:val="both"/>
        <w:rPr>
          <w:lang w:eastAsia="en-GB"/>
        </w:rPr>
      </w:pPr>
      <w:bookmarkStart w:id="36" w:name="_Toc499120886"/>
      <w:r w:rsidRPr="005A62BD">
        <w:rPr>
          <w:lang w:eastAsia="en-GB"/>
        </w:rPr>
        <w:lastRenderedPageBreak/>
        <w:t>Review of the European Semester from a</w:t>
      </w:r>
      <w:r w:rsidR="001E4166" w:rsidRPr="005A62BD">
        <w:rPr>
          <w:lang w:eastAsia="en-GB"/>
        </w:rPr>
        <w:t xml:space="preserve"> disability perspective</w:t>
      </w:r>
      <w:bookmarkEnd w:id="36"/>
    </w:p>
    <w:p w14:paraId="203F646E" w14:textId="77777777" w:rsidR="00B24359" w:rsidRPr="005A62BD" w:rsidRDefault="00B24359" w:rsidP="00D73FC4">
      <w:pPr>
        <w:spacing w:after="0"/>
        <w:jc w:val="both"/>
        <w:rPr>
          <w:lang w:eastAsia="en-GB"/>
        </w:rPr>
      </w:pPr>
    </w:p>
    <w:p w14:paraId="3AFC9F89" w14:textId="7201FD62" w:rsidR="001E4166" w:rsidRPr="005A62BD" w:rsidRDefault="006B7206" w:rsidP="00D73FC4">
      <w:pPr>
        <w:pStyle w:val="Heading2"/>
      </w:pPr>
      <w:bookmarkStart w:id="37" w:name="_Toc499120887"/>
      <w:r w:rsidRPr="005A62BD">
        <w:t>Progress on disability</w:t>
      </w:r>
      <w:r w:rsidR="00A14F67" w:rsidRPr="005A62BD">
        <w:t xml:space="preserve">-specific </w:t>
      </w:r>
      <w:r w:rsidR="001E4166" w:rsidRPr="005A62BD">
        <w:t xml:space="preserve">Country </w:t>
      </w:r>
      <w:r w:rsidR="00FA5809" w:rsidRPr="005A62BD">
        <w:t>S</w:t>
      </w:r>
      <w:r w:rsidR="001E4166" w:rsidRPr="005A62BD">
        <w:t xml:space="preserve">pecific </w:t>
      </w:r>
      <w:r w:rsidR="00FA5809" w:rsidRPr="005A62BD">
        <w:t>R</w:t>
      </w:r>
      <w:r w:rsidR="001E4166" w:rsidRPr="005A62BD">
        <w:t>ecommendations (CSRs)</w:t>
      </w:r>
      <w:bookmarkEnd w:id="37"/>
    </w:p>
    <w:p w14:paraId="088120DE" w14:textId="77777777" w:rsidR="00B24359" w:rsidRPr="005A62BD" w:rsidRDefault="00B24359" w:rsidP="00D73FC4">
      <w:pPr>
        <w:spacing w:after="0"/>
        <w:jc w:val="both"/>
      </w:pPr>
    </w:p>
    <w:p w14:paraId="5CD68CCF" w14:textId="4C18D537" w:rsidR="005144FC" w:rsidRPr="005A62BD" w:rsidRDefault="005144FC" w:rsidP="00D73FC4">
      <w:pPr>
        <w:spacing w:after="0"/>
        <w:jc w:val="both"/>
        <w:rPr>
          <w:lang w:eastAsia="en-GB"/>
        </w:rPr>
      </w:pPr>
      <w:r w:rsidRPr="005A62BD">
        <w:rPr>
          <w:lang w:eastAsia="en-GB"/>
        </w:rPr>
        <w:t>There were no disability specific CSRs for Slovakia in 201</w:t>
      </w:r>
      <w:r w:rsidR="003E300E" w:rsidRPr="005A62BD">
        <w:rPr>
          <w:lang w:eastAsia="en-GB"/>
        </w:rPr>
        <w:t>7</w:t>
      </w:r>
      <w:r w:rsidRPr="005A62BD">
        <w:rPr>
          <w:lang w:eastAsia="en-GB"/>
        </w:rPr>
        <w:t xml:space="preserve"> and disability was not mentioned in the Commission’s recommendation.</w:t>
      </w:r>
      <w:r w:rsidRPr="005A62BD">
        <w:rPr>
          <w:rStyle w:val="FootnoteReference"/>
          <w:lang w:eastAsia="en-GB"/>
        </w:rPr>
        <w:footnoteReference w:id="54"/>
      </w:r>
      <w:r w:rsidR="0014468A" w:rsidRPr="005A62BD">
        <w:rPr>
          <w:lang w:eastAsia="en-GB"/>
        </w:rPr>
        <w:t xml:space="preserve"> There is reference in the preamble to ‘difficulties in introducing individualised support to the long-term unemployed and to vulnerable groups due among others to a high caseload’ (p.4) and this </w:t>
      </w:r>
      <w:r w:rsidR="00E44870" w:rsidRPr="005A62BD">
        <w:rPr>
          <w:lang w:eastAsia="en-GB"/>
        </w:rPr>
        <w:t xml:space="preserve">policy challenge </w:t>
      </w:r>
      <w:r w:rsidR="00B723F3" w:rsidRPr="005A62BD">
        <w:rPr>
          <w:lang w:eastAsia="en-GB"/>
        </w:rPr>
        <w:t>should</w:t>
      </w:r>
      <w:r w:rsidR="0014468A" w:rsidRPr="005A62BD">
        <w:rPr>
          <w:lang w:eastAsia="en-GB"/>
        </w:rPr>
        <w:t xml:space="preserve"> be considered </w:t>
      </w:r>
      <w:r w:rsidR="00585225" w:rsidRPr="005A62BD">
        <w:rPr>
          <w:lang w:eastAsia="en-GB"/>
        </w:rPr>
        <w:t xml:space="preserve">very </w:t>
      </w:r>
      <w:r w:rsidR="0014468A" w:rsidRPr="005A62BD">
        <w:rPr>
          <w:lang w:eastAsia="en-GB"/>
        </w:rPr>
        <w:t xml:space="preserve">relevant </w:t>
      </w:r>
      <w:r w:rsidR="00E44870" w:rsidRPr="005A62BD">
        <w:rPr>
          <w:lang w:eastAsia="en-GB"/>
        </w:rPr>
        <w:t>to</w:t>
      </w:r>
      <w:r w:rsidR="0014468A" w:rsidRPr="005A62BD">
        <w:rPr>
          <w:lang w:eastAsia="en-GB"/>
        </w:rPr>
        <w:t xml:space="preserve"> persons with disabilities</w:t>
      </w:r>
      <w:r w:rsidR="00194C77" w:rsidRPr="005A62BD">
        <w:rPr>
          <w:lang w:eastAsia="en-GB"/>
        </w:rPr>
        <w:t xml:space="preserve"> (see below)</w:t>
      </w:r>
      <w:r w:rsidR="0014468A" w:rsidRPr="005A62BD">
        <w:rPr>
          <w:lang w:eastAsia="en-GB"/>
        </w:rPr>
        <w:t xml:space="preserve">. </w:t>
      </w:r>
    </w:p>
    <w:p w14:paraId="2DE4C8D4" w14:textId="77777777" w:rsidR="00D254A5" w:rsidRPr="005A62BD" w:rsidRDefault="00D254A5" w:rsidP="00D73FC4">
      <w:pPr>
        <w:spacing w:after="0"/>
        <w:jc w:val="both"/>
        <w:rPr>
          <w:lang w:eastAsia="en-GB"/>
        </w:rPr>
      </w:pPr>
    </w:p>
    <w:p w14:paraId="3CF92882" w14:textId="77777777" w:rsidR="006B7206" w:rsidRPr="005A62BD" w:rsidRDefault="00A14F67" w:rsidP="00D73FC4">
      <w:pPr>
        <w:pStyle w:val="Heading2"/>
        <w:rPr>
          <w:lang w:eastAsia="en-GB"/>
        </w:rPr>
      </w:pPr>
      <w:bookmarkStart w:id="38" w:name="_Toc499120888"/>
      <w:r w:rsidRPr="005A62BD">
        <w:rPr>
          <w:lang w:eastAsia="en-GB"/>
        </w:rPr>
        <w:t>Progress on o</w:t>
      </w:r>
      <w:r w:rsidR="006B7206" w:rsidRPr="005A62BD">
        <w:rPr>
          <w:lang w:eastAsia="en-GB"/>
        </w:rPr>
        <w:t xml:space="preserve">ther CSRs </w:t>
      </w:r>
      <w:r w:rsidRPr="005A62BD">
        <w:rPr>
          <w:lang w:eastAsia="en-GB"/>
        </w:rPr>
        <w:t>from a</w:t>
      </w:r>
      <w:r w:rsidR="006B7206" w:rsidRPr="005A62BD">
        <w:rPr>
          <w:lang w:eastAsia="en-GB"/>
        </w:rPr>
        <w:t xml:space="preserve"> disability perspective</w:t>
      </w:r>
      <w:bookmarkEnd w:id="38"/>
    </w:p>
    <w:p w14:paraId="3D93E59C" w14:textId="77777777" w:rsidR="00B24359" w:rsidRPr="005A62BD" w:rsidRDefault="00B24359" w:rsidP="00D73FC4">
      <w:pPr>
        <w:spacing w:after="0"/>
        <w:jc w:val="both"/>
        <w:rPr>
          <w:lang w:eastAsia="en-GB"/>
        </w:rPr>
      </w:pPr>
    </w:p>
    <w:p w14:paraId="6DDC581A" w14:textId="77777777" w:rsidR="005144FC" w:rsidRPr="005A62BD" w:rsidRDefault="005144FC" w:rsidP="00D73FC4">
      <w:pPr>
        <w:spacing w:after="0"/>
        <w:jc w:val="both"/>
        <w:rPr>
          <w:b/>
        </w:rPr>
      </w:pPr>
      <w:r w:rsidRPr="005A62BD">
        <w:rPr>
          <w:b/>
        </w:rPr>
        <w:t>CSR Recommendation 2:</w:t>
      </w:r>
    </w:p>
    <w:p w14:paraId="392CD3C2" w14:textId="151F2985" w:rsidR="007441E4" w:rsidRPr="005A62BD" w:rsidRDefault="00EB4892" w:rsidP="00D73FC4">
      <w:pPr>
        <w:pStyle w:val="Default"/>
        <w:jc w:val="both"/>
        <w:rPr>
          <w:rFonts w:ascii="Arial" w:hAnsi="Arial" w:cs="Arial"/>
          <w:i/>
          <w:color w:val="auto"/>
          <w:lang w:val="en-GB"/>
        </w:rPr>
      </w:pPr>
      <w:r w:rsidRPr="005A62BD">
        <w:rPr>
          <w:rFonts w:ascii="Arial" w:hAnsi="Arial" w:cs="Arial"/>
          <w:color w:val="auto"/>
          <w:lang w:val="en-GB"/>
        </w:rPr>
        <w:t>“</w:t>
      </w:r>
      <w:r w:rsidR="007441E4" w:rsidRPr="005A62BD">
        <w:rPr>
          <w:rFonts w:ascii="Arial" w:hAnsi="Arial" w:cs="Arial"/>
          <w:i/>
          <w:color w:val="auto"/>
          <w:lang w:val="en-GB"/>
        </w:rPr>
        <w:t xml:space="preserve">Improve activation measures for disadvantaged groups, including by implementing the action plan for the long-term unemployed and by providing individualised services and targeted training. Enhance employment opportunities for women, especially by extending affordable, quality childcare. Improve the quality of education and </w:t>
      </w:r>
      <w:bookmarkStart w:id="39" w:name="OLE_LINK9"/>
      <w:bookmarkStart w:id="40" w:name="OLE_LINK10"/>
      <w:r w:rsidR="007441E4" w:rsidRPr="005A62BD">
        <w:rPr>
          <w:rFonts w:ascii="Arial" w:hAnsi="Arial" w:cs="Arial"/>
          <w:i/>
          <w:color w:val="auto"/>
          <w:lang w:val="en-GB"/>
        </w:rPr>
        <w:t>increase the participation of Roma in inclusive mainstream education</w:t>
      </w:r>
      <w:r w:rsidRPr="005A62BD">
        <w:rPr>
          <w:rFonts w:ascii="Arial" w:hAnsi="Arial" w:cs="Arial"/>
          <w:i/>
          <w:color w:val="auto"/>
          <w:lang w:val="en-GB"/>
        </w:rPr>
        <w:t>”</w:t>
      </w:r>
      <w:r w:rsidR="007441E4" w:rsidRPr="005A62BD">
        <w:rPr>
          <w:rFonts w:ascii="Arial" w:hAnsi="Arial" w:cs="Arial"/>
          <w:i/>
          <w:color w:val="auto"/>
          <w:lang w:val="en-GB"/>
        </w:rPr>
        <w:t>.</w:t>
      </w:r>
      <w:bookmarkEnd w:id="39"/>
      <w:bookmarkEnd w:id="40"/>
    </w:p>
    <w:p w14:paraId="1A406884" w14:textId="2B65BD04" w:rsidR="00D254A5" w:rsidRPr="005A62BD" w:rsidRDefault="007441E4" w:rsidP="00D73FC4">
      <w:pPr>
        <w:spacing w:after="0"/>
        <w:jc w:val="both"/>
        <w:rPr>
          <w:lang w:eastAsia="en-GB"/>
        </w:rPr>
      </w:pPr>
      <w:r w:rsidRPr="005A62BD" w:rsidDel="007441E4">
        <w:rPr>
          <w:i/>
        </w:rPr>
        <w:t xml:space="preserve"> </w:t>
      </w:r>
    </w:p>
    <w:p w14:paraId="33F64EF8" w14:textId="7911092F" w:rsidR="005144FC" w:rsidRPr="005A62BD" w:rsidRDefault="00960CCE" w:rsidP="00D73FC4">
      <w:pPr>
        <w:spacing w:after="0"/>
        <w:jc w:val="both"/>
        <w:rPr>
          <w:lang w:eastAsia="en-GB"/>
        </w:rPr>
      </w:pPr>
      <w:r w:rsidRPr="005A62BD">
        <w:rPr>
          <w:lang w:eastAsia="en-GB"/>
        </w:rPr>
        <w:t>Apparently,</w:t>
      </w:r>
      <w:r w:rsidR="005144FC" w:rsidRPr="005A62BD">
        <w:rPr>
          <w:lang w:eastAsia="en-GB"/>
        </w:rPr>
        <w:t xml:space="preserve"> the main challenges as well as the recommendation </w:t>
      </w:r>
      <w:proofErr w:type="gramStart"/>
      <w:r w:rsidR="005144FC" w:rsidRPr="005A62BD">
        <w:rPr>
          <w:lang w:eastAsia="en-GB"/>
        </w:rPr>
        <w:t>in the area of</w:t>
      </w:r>
      <w:proofErr w:type="gramEnd"/>
      <w:r w:rsidR="005144FC" w:rsidRPr="005A62BD">
        <w:rPr>
          <w:lang w:eastAsia="en-GB"/>
        </w:rPr>
        <w:t xml:space="preserve"> employment and education remain more or less the same over the last year. It is also relevant to introduce better targeted activation measures for PWD, especially in relation to the UN concluding observations calling for an action plan of transition from sheltered to an open labour market (for more details see section 4.1). Individualised services are needed very much for persons with disabilities, since supported employment is not funded within active labour market measures at all</w:t>
      </w:r>
      <w:r w:rsidR="00D254A5" w:rsidRPr="005A62BD">
        <w:rPr>
          <w:lang w:eastAsia="en-GB"/>
        </w:rPr>
        <w:t>.</w:t>
      </w:r>
      <w:r w:rsidR="005144FC" w:rsidRPr="005A62BD">
        <w:rPr>
          <w:rStyle w:val="FootnoteReference"/>
          <w:lang w:eastAsia="en-GB"/>
        </w:rPr>
        <w:footnoteReference w:id="55"/>
      </w:r>
    </w:p>
    <w:p w14:paraId="0B4050B8" w14:textId="77777777" w:rsidR="00D254A5" w:rsidRPr="005A62BD" w:rsidRDefault="00D254A5" w:rsidP="00D73FC4">
      <w:pPr>
        <w:spacing w:after="0"/>
        <w:jc w:val="both"/>
        <w:rPr>
          <w:lang w:eastAsia="en-GB"/>
        </w:rPr>
      </w:pPr>
    </w:p>
    <w:p w14:paraId="13042C55" w14:textId="3DD5D406" w:rsidR="005144FC" w:rsidRPr="005A62BD" w:rsidRDefault="005144FC" w:rsidP="00D73FC4">
      <w:pPr>
        <w:spacing w:after="0"/>
        <w:jc w:val="both"/>
      </w:pPr>
      <w:r w:rsidRPr="005A62BD">
        <w:t xml:space="preserve">In relation to the education outcomes and quality, </w:t>
      </w:r>
      <w:r w:rsidR="002D3703" w:rsidRPr="005A62BD">
        <w:t>a</w:t>
      </w:r>
      <w:r w:rsidRPr="005A62BD">
        <w:t>ccording to the current legislation the teachers in special schools and special classes for children and pupils with disabilities are classified into the higher salary class 2 with the salary difference of approx. 40 EUR in average in comparison to salaries at mainstream school</w:t>
      </w:r>
      <w:r w:rsidR="00D254A5" w:rsidRPr="005A62BD">
        <w:t>.</w:t>
      </w:r>
      <w:r w:rsidR="00691B5A">
        <w:t xml:space="preserve"> </w:t>
      </w:r>
      <w:r w:rsidRPr="005A62BD">
        <w:t>On the other hand</w:t>
      </w:r>
      <w:r w:rsidR="006C3173">
        <w:t>,</w:t>
      </w:r>
      <w:r w:rsidRPr="005A62BD">
        <w:t xml:space="preserve"> the teachers in mainstream class can receive extra money when the proportion of individually integrated pupils with disabilities reaches at least</w:t>
      </w:r>
      <w:r w:rsidR="00691B5A">
        <w:t xml:space="preserve"> 30% of all pupils in the class. </w:t>
      </w:r>
      <w:r w:rsidRPr="005A62BD">
        <w:t xml:space="preserve">There are no data on the effectiveness of educational process in both special and mainstream education. </w:t>
      </w:r>
    </w:p>
    <w:p w14:paraId="22256982" w14:textId="1DD8F953" w:rsidR="00D254A5" w:rsidRPr="005A62BD" w:rsidRDefault="00D254A5" w:rsidP="00D73FC4">
      <w:pPr>
        <w:spacing w:after="0"/>
        <w:jc w:val="both"/>
      </w:pPr>
    </w:p>
    <w:p w14:paraId="104D75A6" w14:textId="29DDACFE" w:rsidR="005144FC" w:rsidRPr="005A62BD" w:rsidRDefault="005144FC" w:rsidP="00D73FC4">
      <w:pPr>
        <w:spacing w:after="0"/>
        <w:jc w:val="both"/>
      </w:pPr>
      <w:r w:rsidRPr="005A62BD">
        <w:t>Despite the teachers’ salaries in both special and mainstream schools have been gradually increasing it is questionable whether this increase makes the profession of special education for new teachers more attractive. The salaries of new teachers are still below the national average of</w:t>
      </w:r>
      <w:r w:rsidR="00FD360D" w:rsidRPr="005A62BD">
        <w:t xml:space="preserve"> 912 EUR in 2016 and </w:t>
      </w:r>
      <w:r w:rsidR="003C5D10" w:rsidRPr="005A62BD">
        <w:t>921 EUR in Q. 1</w:t>
      </w:r>
      <w:r w:rsidR="003C5D10" w:rsidRPr="005A62BD">
        <w:rPr>
          <w:vertAlign w:val="superscript"/>
        </w:rPr>
        <w:t>st</w:t>
      </w:r>
      <w:r w:rsidR="003C5D10" w:rsidRPr="005A62BD">
        <w:t xml:space="preserve"> – 2</w:t>
      </w:r>
      <w:r w:rsidR="003C5D10" w:rsidRPr="005A62BD">
        <w:rPr>
          <w:vertAlign w:val="superscript"/>
        </w:rPr>
        <w:t>nd</w:t>
      </w:r>
      <w:r w:rsidR="003C5D10" w:rsidRPr="005A62BD">
        <w:t xml:space="preserve"> 2017</w:t>
      </w:r>
      <w:r w:rsidR="00D254A5" w:rsidRPr="005A62BD">
        <w:t>.</w:t>
      </w:r>
      <w:r w:rsidRPr="005A62BD">
        <w:rPr>
          <w:rStyle w:val="FootnoteReference"/>
        </w:rPr>
        <w:footnoteReference w:id="56"/>
      </w:r>
    </w:p>
    <w:p w14:paraId="41C256A6" w14:textId="124AC330" w:rsidR="00A26D6D" w:rsidRPr="005A62BD" w:rsidRDefault="005144FC" w:rsidP="00D73FC4">
      <w:pPr>
        <w:spacing w:after="0"/>
        <w:jc w:val="both"/>
      </w:pPr>
      <w:r w:rsidRPr="005A62BD">
        <w:lastRenderedPageBreak/>
        <w:t xml:space="preserve">Educational outcomes improvement relates to all pupils in general, being one of the most discussed issues of education system in Slovakia. The educational outcomes have been measured by various testing procedures. The international comparison is offered by the </w:t>
      </w:r>
      <w:r w:rsidRPr="005A62BD">
        <w:rPr>
          <w:i/>
        </w:rPr>
        <w:t>PISA testing.</w:t>
      </w:r>
      <w:r w:rsidRPr="005A62BD">
        <w:t xml:space="preserve"> </w:t>
      </w:r>
      <w:r w:rsidR="00BC3DD3" w:rsidRPr="005A62BD">
        <w:t>P</w:t>
      </w:r>
      <w:r w:rsidRPr="005A62BD">
        <w:t>upils with disabilities</w:t>
      </w:r>
      <w:r w:rsidR="00BC3DD3" w:rsidRPr="005A62BD">
        <w:t xml:space="preserve"> (and other special educational needs) at special </w:t>
      </w:r>
      <w:r w:rsidR="00DF3F26" w:rsidRPr="005A62BD">
        <w:t xml:space="preserve">primary </w:t>
      </w:r>
      <w:r w:rsidR="00BC3DD3" w:rsidRPr="005A62BD">
        <w:t>schools and special classes of mainstream schools</w:t>
      </w:r>
      <w:r w:rsidRPr="005A62BD">
        <w:t xml:space="preserve"> were included into the PISA</w:t>
      </w:r>
      <w:r w:rsidR="00BC3DD3" w:rsidRPr="005A62BD">
        <w:t xml:space="preserve"> 2015</w:t>
      </w:r>
      <w:r w:rsidRPr="005A62BD">
        <w:t xml:space="preserve"> testing.</w:t>
      </w:r>
      <w:r w:rsidR="00BC3DD3" w:rsidRPr="005A62BD">
        <w:t xml:space="preserve"> Their tests were called “Une </w:t>
      </w:r>
      <w:proofErr w:type="spellStart"/>
      <w:r w:rsidR="00BC3DD3" w:rsidRPr="005A62BD">
        <w:t>Heure</w:t>
      </w:r>
      <w:proofErr w:type="spellEnd"/>
      <w:r w:rsidR="00BC3DD3" w:rsidRPr="005A62BD">
        <w:t>”, took 60 minutes</w:t>
      </w:r>
      <w:r w:rsidR="00DF3F26" w:rsidRPr="005A62BD">
        <w:t xml:space="preserve"> and were easier to fill out.</w:t>
      </w:r>
      <w:r w:rsidRPr="005A62BD">
        <w:t xml:space="preserve"> </w:t>
      </w:r>
      <w:r w:rsidR="00DF3F26" w:rsidRPr="005A62BD">
        <w:t>The pupils had to be able to fill out the test</w:t>
      </w:r>
      <w:r w:rsidR="00E35EAA" w:rsidRPr="005A62BD">
        <w:t>s</w:t>
      </w:r>
      <w:r w:rsidR="00DF3F26" w:rsidRPr="005A62BD">
        <w:t xml:space="preserve"> independently.</w:t>
      </w:r>
      <w:r w:rsidR="00DF3F26" w:rsidRPr="005A62BD">
        <w:rPr>
          <w:rStyle w:val="FootnoteReference"/>
        </w:rPr>
        <w:footnoteReference w:id="57"/>
      </w:r>
      <w:r w:rsidR="00DF3F26" w:rsidRPr="005A62BD">
        <w:t xml:space="preserve"> </w:t>
      </w:r>
    </w:p>
    <w:p w14:paraId="5CE923BF" w14:textId="77777777" w:rsidR="00A26D6D" w:rsidRPr="005A62BD" w:rsidRDefault="00A26D6D" w:rsidP="00D73FC4">
      <w:pPr>
        <w:spacing w:after="0"/>
        <w:jc w:val="both"/>
      </w:pPr>
    </w:p>
    <w:p w14:paraId="533C89AC" w14:textId="4F33C884" w:rsidR="005144FC" w:rsidRPr="005A62BD" w:rsidRDefault="005144FC" w:rsidP="00D73FC4">
      <w:pPr>
        <w:spacing w:after="0"/>
        <w:jc w:val="both"/>
      </w:pPr>
      <w:r w:rsidRPr="005A62BD">
        <w:t xml:space="preserve">In the exam “Testing 9 </w:t>
      </w:r>
      <w:r w:rsidR="00A26D6D" w:rsidRPr="005A62BD">
        <w:t>–</w:t>
      </w:r>
      <w:r w:rsidR="005A62BD">
        <w:t xml:space="preserve"> </w:t>
      </w:r>
      <w:r w:rsidR="00A26D6D" w:rsidRPr="005A62BD">
        <w:t>2017</w:t>
      </w:r>
      <w:r w:rsidRPr="005A62BD">
        <w:t>”</w:t>
      </w:r>
      <w:r w:rsidR="00A26D6D" w:rsidRPr="005A62BD">
        <w:t xml:space="preserve"> totally 36 535 pupils were tested. The proportion of pupils with disabilities has increased in comparison to Testing 9 2016. In 2017 pupils with disabilities made 8.4% of all tested pupils (absolutely 3,054 pupils with disabilities)</w:t>
      </w:r>
      <w:r w:rsidR="006C3173">
        <w:t>.</w:t>
      </w:r>
      <w:r w:rsidR="00A26D6D" w:rsidRPr="005A62BD">
        <w:rPr>
          <w:rStyle w:val="FootnoteReference"/>
        </w:rPr>
        <w:footnoteReference w:id="58"/>
      </w:r>
      <w:r w:rsidR="005A62BD">
        <w:t xml:space="preserve"> </w:t>
      </w:r>
    </w:p>
    <w:p w14:paraId="12707AD5" w14:textId="25B8C268" w:rsidR="00CD6081" w:rsidRPr="005A62BD" w:rsidRDefault="00CD6081" w:rsidP="00D73FC4">
      <w:pPr>
        <w:spacing w:after="0"/>
        <w:jc w:val="both"/>
      </w:pPr>
    </w:p>
    <w:p w14:paraId="3C06D34B" w14:textId="3CEDF93B" w:rsidR="00CD6081" w:rsidRPr="005A62BD" w:rsidRDefault="00CD6081" w:rsidP="00D73FC4">
      <w:pPr>
        <w:spacing w:after="0"/>
        <w:jc w:val="both"/>
      </w:pPr>
      <w:r w:rsidRPr="005A62BD">
        <w:t xml:space="preserve">External part of </w:t>
      </w:r>
      <w:proofErr w:type="spellStart"/>
      <w:r w:rsidRPr="005A62BD">
        <w:t>Maturita</w:t>
      </w:r>
      <w:proofErr w:type="spellEnd"/>
      <w:r w:rsidR="00C2325D" w:rsidRPr="005A62BD">
        <w:t xml:space="preserve"> 2016/2017</w:t>
      </w:r>
      <w:r w:rsidRPr="005A62BD">
        <w:t xml:space="preserve"> (School Leaving Exam) was written by 39,670 secondary school students. Four percent of them (absolutely 1,592) were students with disabilities.</w:t>
      </w:r>
      <w:r w:rsidR="004760DF" w:rsidRPr="005A62BD">
        <w:rPr>
          <w:rStyle w:val="FootnoteReference"/>
        </w:rPr>
        <w:footnoteReference w:id="59"/>
      </w:r>
    </w:p>
    <w:p w14:paraId="547A69F8" w14:textId="77777777" w:rsidR="00D254A5" w:rsidRPr="005A62BD" w:rsidRDefault="00D254A5" w:rsidP="00D73FC4">
      <w:pPr>
        <w:spacing w:after="0"/>
        <w:jc w:val="both"/>
      </w:pPr>
    </w:p>
    <w:p w14:paraId="77402ACE" w14:textId="6C762E0C" w:rsidR="005144FC" w:rsidRPr="005A62BD" w:rsidRDefault="005144FC" w:rsidP="00D73FC4">
      <w:pPr>
        <w:pStyle w:val="Default"/>
        <w:jc w:val="both"/>
        <w:rPr>
          <w:rFonts w:ascii="Arial" w:hAnsi="Arial" w:cs="Arial"/>
          <w:color w:val="auto"/>
          <w:lang w:val="en-GB"/>
        </w:rPr>
      </w:pPr>
      <w:r w:rsidRPr="005A62BD">
        <w:rPr>
          <w:rFonts w:ascii="Arial" w:hAnsi="Arial" w:cs="Arial"/>
          <w:color w:val="auto"/>
          <w:lang w:val="en-GB"/>
        </w:rPr>
        <w:t xml:space="preserve">There are neither published outcomes specifically related to pupils with disabilities in PISA, nor from the exams </w:t>
      </w:r>
      <w:r w:rsidRPr="005A62BD">
        <w:rPr>
          <w:rFonts w:ascii="Arial" w:hAnsi="Arial" w:cs="Arial"/>
          <w:i/>
          <w:color w:val="auto"/>
          <w:lang w:val="en-GB"/>
        </w:rPr>
        <w:t>“Testing 9</w:t>
      </w:r>
      <w:r w:rsidRPr="005A62BD">
        <w:rPr>
          <w:rFonts w:ascii="Arial" w:hAnsi="Arial" w:cs="Arial"/>
          <w:color w:val="auto"/>
          <w:lang w:val="en-GB"/>
        </w:rPr>
        <w:t xml:space="preserve">” and </w:t>
      </w:r>
      <w:proofErr w:type="spellStart"/>
      <w:r w:rsidRPr="005A62BD">
        <w:rPr>
          <w:rFonts w:ascii="Arial" w:hAnsi="Arial" w:cs="Arial"/>
          <w:i/>
          <w:color w:val="auto"/>
          <w:lang w:val="en-GB"/>
        </w:rPr>
        <w:t>Maturita</w:t>
      </w:r>
      <w:proofErr w:type="spellEnd"/>
      <w:r w:rsidRPr="005A62BD">
        <w:rPr>
          <w:rFonts w:ascii="Arial" w:hAnsi="Arial" w:cs="Arial"/>
          <w:color w:val="auto"/>
          <w:lang w:val="en-GB"/>
        </w:rPr>
        <w:t xml:space="preserve">. </w:t>
      </w:r>
    </w:p>
    <w:p w14:paraId="0DDC7549" w14:textId="0DDD23AF" w:rsidR="00DB5165" w:rsidRPr="005A62BD" w:rsidRDefault="00DB5165" w:rsidP="00D73FC4">
      <w:pPr>
        <w:pStyle w:val="Default"/>
        <w:jc w:val="both"/>
        <w:rPr>
          <w:rFonts w:ascii="Arial" w:hAnsi="Arial" w:cs="Arial"/>
          <w:color w:val="auto"/>
          <w:lang w:val="en-GB"/>
        </w:rPr>
      </w:pPr>
    </w:p>
    <w:p w14:paraId="66D2A105" w14:textId="66ABCB14" w:rsidR="005144FC" w:rsidRPr="005A62BD" w:rsidRDefault="005144FC" w:rsidP="00D73FC4">
      <w:pPr>
        <w:spacing w:after="0"/>
        <w:jc w:val="both"/>
        <w:rPr>
          <w:b/>
        </w:rPr>
      </w:pPr>
      <w:r w:rsidRPr="005A62BD">
        <w:t>To sum up, based on the above, the professional development, raising awareness on disability issues among teachers, as well as the support of teacher’s</w:t>
      </w:r>
      <w:r w:rsidR="003F4E08" w:rsidRPr="005A62BD">
        <w:t xml:space="preserve"> </w:t>
      </w:r>
      <w:r w:rsidRPr="005A62BD">
        <w:t xml:space="preserve">assistants and their professional development </w:t>
      </w:r>
      <w:r w:rsidR="004760DF" w:rsidRPr="005A62BD">
        <w:t xml:space="preserve">stay </w:t>
      </w:r>
      <w:r w:rsidRPr="005A62BD">
        <w:t>the most important challenges to support mainstream education of children and youth with disabilities.</w:t>
      </w:r>
      <w:r w:rsidR="003F4E08" w:rsidRPr="005A62BD">
        <w:t xml:space="preserve"> </w:t>
      </w:r>
    </w:p>
    <w:p w14:paraId="549D9823" w14:textId="77777777" w:rsidR="00DB5165" w:rsidRPr="005A62BD" w:rsidRDefault="00DB5165" w:rsidP="00D73FC4">
      <w:pPr>
        <w:spacing w:after="0"/>
        <w:jc w:val="both"/>
      </w:pPr>
    </w:p>
    <w:p w14:paraId="3CE255A6" w14:textId="77777777" w:rsidR="006B7206" w:rsidRPr="005A62BD" w:rsidRDefault="006B7206" w:rsidP="00D73FC4">
      <w:pPr>
        <w:pStyle w:val="Heading2"/>
        <w:rPr>
          <w:lang w:eastAsia="en-GB"/>
        </w:rPr>
      </w:pPr>
      <w:bookmarkStart w:id="41" w:name="_Toc499120889"/>
      <w:r w:rsidRPr="005A62BD">
        <w:rPr>
          <w:lang w:eastAsia="en-GB"/>
        </w:rPr>
        <w:t xml:space="preserve">Assessment of disability issues in the </w:t>
      </w:r>
      <w:r w:rsidR="00A14F67" w:rsidRPr="005A62BD">
        <w:rPr>
          <w:lang w:eastAsia="en-GB"/>
        </w:rPr>
        <w:t>Country Report</w:t>
      </w:r>
      <w:r w:rsidR="008D2A5F" w:rsidRPr="005A62BD">
        <w:rPr>
          <w:lang w:eastAsia="en-GB"/>
        </w:rPr>
        <w:t xml:space="preserve"> (</w:t>
      </w:r>
      <w:r w:rsidR="00A14F67" w:rsidRPr="005A62BD">
        <w:rPr>
          <w:lang w:eastAsia="en-GB"/>
        </w:rPr>
        <w:t>CR</w:t>
      </w:r>
      <w:r w:rsidR="008D2A5F" w:rsidRPr="005A62BD">
        <w:rPr>
          <w:lang w:eastAsia="en-GB"/>
        </w:rPr>
        <w:t>)</w:t>
      </w:r>
      <w:bookmarkEnd w:id="41"/>
    </w:p>
    <w:p w14:paraId="767049EF" w14:textId="77777777" w:rsidR="00DF1DEF" w:rsidRPr="005A62BD" w:rsidRDefault="00DF1DEF" w:rsidP="00D73FC4">
      <w:pPr>
        <w:spacing w:after="0"/>
        <w:jc w:val="both"/>
        <w:rPr>
          <w:lang w:eastAsia="en-GB"/>
        </w:rPr>
      </w:pPr>
    </w:p>
    <w:p w14:paraId="4CD150C8" w14:textId="0A943F0C" w:rsidR="00DF1DEF" w:rsidRPr="005A62BD" w:rsidRDefault="00DF1DEF" w:rsidP="00D73FC4">
      <w:pPr>
        <w:spacing w:after="0"/>
        <w:jc w:val="both"/>
        <w:rPr>
          <w:lang w:eastAsia="en-GB"/>
        </w:rPr>
      </w:pPr>
      <w:r w:rsidRPr="005A62BD">
        <w:rPr>
          <w:lang w:eastAsia="en-GB"/>
        </w:rPr>
        <w:t xml:space="preserve">The 2017 Country Report included some direct references to disability policies, such as the increase in carers’ or severe disability allowances, and with cross reference to the UN CRPD Committee recommendations on the slow pace of progress in deinstitutionalisation. This type of cross-referencing may be considered a good example of joined up analysis between EU and UN observers. However, disability is </w:t>
      </w:r>
      <w:r w:rsidRPr="005A62BD">
        <w:rPr>
          <w:lang w:eastAsia="en-GB"/>
        </w:rPr>
        <w:lastRenderedPageBreak/>
        <w:t>not referred to directly in several key themes where the situation of persons with disabilities is of note.</w:t>
      </w:r>
    </w:p>
    <w:p w14:paraId="4EFA69B8" w14:textId="77777777" w:rsidR="005144FC" w:rsidRPr="005A62BD" w:rsidRDefault="005144FC" w:rsidP="00D73FC4">
      <w:pPr>
        <w:spacing w:after="0"/>
        <w:jc w:val="both"/>
        <w:rPr>
          <w:i/>
          <w:lang w:eastAsia="en-GB"/>
        </w:rPr>
      </w:pPr>
      <w:r w:rsidRPr="005A62BD">
        <w:rPr>
          <w:i/>
          <w:lang w:eastAsia="en-GB"/>
        </w:rPr>
        <w:t xml:space="preserve">Employment </w:t>
      </w:r>
    </w:p>
    <w:p w14:paraId="32A9509E" w14:textId="02BC8445" w:rsidR="005144FC" w:rsidRPr="005A62BD" w:rsidRDefault="005144FC" w:rsidP="00D73FC4">
      <w:pPr>
        <w:spacing w:after="0"/>
        <w:jc w:val="both"/>
      </w:pPr>
      <w:r w:rsidRPr="005A62BD">
        <w:rPr>
          <w:lang w:eastAsia="en-GB"/>
        </w:rPr>
        <w:t xml:space="preserve">The Country Report on the one hand highlights some improvements “on the back of an economic recovery”. On the other hand, it points to persistently high unemployment especially among </w:t>
      </w:r>
      <w:r w:rsidRPr="005A62BD">
        <w:t xml:space="preserve">the low-skilled, young workers, marginalised Roma and mothers with young children. Unemployment is also concentrated in central and eastern parts of the country. </w:t>
      </w:r>
    </w:p>
    <w:p w14:paraId="5D30039E" w14:textId="77777777" w:rsidR="00DF1DEF" w:rsidRPr="005A62BD" w:rsidRDefault="00DF1DEF" w:rsidP="00D73FC4">
      <w:pPr>
        <w:spacing w:after="0"/>
        <w:jc w:val="both"/>
      </w:pPr>
    </w:p>
    <w:p w14:paraId="248689E7" w14:textId="529F3A80" w:rsidR="00DB5165" w:rsidRDefault="0006273A" w:rsidP="00D73FC4">
      <w:pPr>
        <w:spacing w:after="0"/>
        <w:jc w:val="both"/>
      </w:pPr>
      <w:r w:rsidRPr="005A62BD">
        <w:t>The CR states that “</w:t>
      </w:r>
      <w:r w:rsidRPr="005A62BD">
        <w:rPr>
          <w:bCs/>
          <w:i/>
        </w:rPr>
        <w:t>LTU – long-term unemployment is a major risk for the low-skilled and young.</w:t>
      </w:r>
      <w:r w:rsidRPr="005A62BD">
        <w:rPr>
          <w:i/>
        </w:rPr>
        <w:t>”</w:t>
      </w:r>
      <w:r w:rsidRPr="005A62BD">
        <w:t xml:space="preserve"> </w:t>
      </w:r>
      <w:r w:rsidR="00876C69" w:rsidRPr="005A62BD">
        <w:t>There is a lack of data to verify whether disability is another risk factor. However, as mentioned in part 3.1, a large group of PWD remains economically i</w:t>
      </w:r>
      <w:r w:rsidR="00691B5A">
        <w:t>nactive rather than unemployed.</w:t>
      </w:r>
    </w:p>
    <w:p w14:paraId="41942521" w14:textId="77777777" w:rsidR="00691B5A" w:rsidRPr="005A62BD" w:rsidRDefault="00691B5A" w:rsidP="00D73FC4">
      <w:pPr>
        <w:spacing w:after="0"/>
        <w:jc w:val="both"/>
      </w:pPr>
    </w:p>
    <w:p w14:paraId="586527DA" w14:textId="77777777" w:rsidR="00876C69" w:rsidRPr="005A62BD" w:rsidRDefault="00BB30D2" w:rsidP="00D73FC4">
      <w:pPr>
        <w:spacing w:after="0"/>
        <w:jc w:val="both"/>
      </w:pPr>
      <w:r w:rsidRPr="005A62BD">
        <w:t xml:space="preserve">Besides that, the CR refers to </w:t>
      </w:r>
      <w:bookmarkStart w:id="42" w:name="OLE_LINK5"/>
      <w:bookmarkStart w:id="43" w:name="OLE_LINK6"/>
      <w:r w:rsidRPr="005A62BD">
        <w:t>a recent study on the effectiveness of Slovak public employment services and active labour market policies under the ‘Value for Money’ project (IFP, 2016)</w:t>
      </w:r>
      <w:r w:rsidR="00583089" w:rsidRPr="005A62BD">
        <w:rPr>
          <w:rStyle w:val="FootnoteReference"/>
        </w:rPr>
        <w:footnoteReference w:id="60"/>
      </w:r>
      <w:r w:rsidRPr="005A62BD">
        <w:t xml:space="preserve"> as </w:t>
      </w:r>
      <w:r w:rsidR="00330013" w:rsidRPr="005A62BD">
        <w:t>“</w:t>
      </w:r>
      <w:r w:rsidRPr="005A62BD">
        <w:t xml:space="preserve">a </w:t>
      </w:r>
      <w:r w:rsidR="00330013" w:rsidRPr="005A62BD">
        <w:t xml:space="preserve">step forward in terms of improving the evaluation of policy measures”. </w:t>
      </w:r>
      <w:r w:rsidR="00FB123D" w:rsidRPr="005A62BD">
        <w:t>From the disability perspective, the study emphasises that in comparison with other countries of V4</w:t>
      </w:r>
      <w:r w:rsidR="00D21F35" w:rsidRPr="005A62BD">
        <w:rPr>
          <w:rStyle w:val="FootnoteReference"/>
        </w:rPr>
        <w:footnoteReference w:id="61"/>
      </w:r>
      <w:r w:rsidR="00FB123D" w:rsidRPr="005A62BD">
        <w:t xml:space="preserve"> as well as the EU, </w:t>
      </w:r>
      <w:r w:rsidR="00830BC3" w:rsidRPr="005A62BD">
        <w:t xml:space="preserve">less people with disabilities participate in the labour market, and the employment rate of PWD </w:t>
      </w:r>
      <w:r w:rsidR="00583089" w:rsidRPr="005A62BD">
        <w:t xml:space="preserve">in Slovakia </w:t>
      </w:r>
      <w:r w:rsidR="00830BC3" w:rsidRPr="005A62BD">
        <w:t xml:space="preserve">is among the lowest in the EU. </w:t>
      </w:r>
    </w:p>
    <w:bookmarkEnd w:id="42"/>
    <w:bookmarkEnd w:id="43"/>
    <w:p w14:paraId="3BB6B43B" w14:textId="77777777" w:rsidR="00BB30D2" w:rsidRPr="005A62BD" w:rsidRDefault="00BB30D2" w:rsidP="00D73FC4">
      <w:pPr>
        <w:spacing w:after="0"/>
        <w:jc w:val="both"/>
      </w:pPr>
    </w:p>
    <w:p w14:paraId="76623F34" w14:textId="6611C036" w:rsidR="005144FC" w:rsidRPr="005A62BD" w:rsidRDefault="00D26D5A" w:rsidP="00D73FC4">
      <w:pPr>
        <w:spacing w:after="0"/>
        <w:jc w:val="both"/>
      </w:pPr>
      <w:bookmarkStart w:id="44" w:name="OLE_LINK4"/>
      <w:bookmarkStart w:id="45" w:name="OLE_LINK3"/>
      <w:r w:rsidRPr="005A62BD">
        <w:rPr>
          <w:lang w:eastAsia="en-GB"/>
        </w:rPr>
        <w:t>T</w:t>
      </w:r>
      <w:r w:rsidR="005144FC" w:rsidRPr="005A62BD">
        <w:rPr>
          <w:lang w:eastAsia="en-GB"/>
        </w:rPr>
        <w:t>he</w:t>
      </w:r>
      <w:r w:rsidR="005144FC" w:rsidRPr="005A62BD">
        <w:t xml:space="preserve"> low capacity of public employment services to provide personalised services may be one of the explanations why most PWD remain economically inactive rather than registered job-seekers. Therefore</w:t>
      </w:r>
      <w:r w:rsidR="006C3173">
        <w:t>,</w:t>
      </w:r>
      <w:r w:rsidR="005144FC" w:rsidRPr="005A62BD">
        <w:t xml:space="preserve"> it is worth considering to includ</w:t>
      </w:r>
      <w:r w:rsidR="006C3173">
        <w:t>ing</w:t>
      </w:r>
      <w:r w:rsidR="005144FC" w:rsidRPr="005A62BD">
        <w:t xml:space="preserve"> people with disabilities</w:t>
      </w:r>
      <w:r w:rsidR="002B26B5" w:rsidRPr="005A62BD">
        <w:t>, especially those living in the institutions,</w:t>
      </w:r>
      <w:r w:rsidR="005A62BD">
        <w:t xml:space="preserve"> </w:t>
      </w:r>
      <w:r w:rsidR="005144FC" w:rsidRPr="005A62BD">
        <w:t xml:space="preserve">in the list of “those furthest from the labour market” in the </w:t>
      </w:r>
      <w:r w:rsidR="005144FC" w:rsidRPr="005A62BD">
        <w:rPr>
          <w:lang w:eastAsia="en-GB"/>
        </w:rPr>
        <w:t>Country Report</w:t>
      </w:r>
      <w:r w:rsidR="005144FC" w:rsidRPr="005A62BD">
        <w:t xml:space="preserve">. </w:t>
      </w:r>
    </w:p>
    <w:p w14:paraId="321FA195" w14:textId="77777777" w:rsidR="00DB5165" w:rsidRPr="005A62BD" w:rsidRDefault="00DB5165" w:rsidP="00D73FC4">
      <w:pPr>
        <w:spacing w:after="0"/>
        <w:jc w:val="both"/>
      </w:pPr>
    </w:p>
    <w:p w14:paraId="028695FE" w14:textId="77777777" w:rsidR="005144FC" w:rsidRPr="006C3173" w:rsidRDefault="005144FC" w:rsidP="00D73FC4">
      <w:pPr>
        <w:spacing w:after="0"/>
        <w:jc w:val="both"/>
        <w:rPr>
          <w:b/>
          <w:i/>
          <w:lang w:eastAsia="en-GB"/>
        </w:rPr>
      </w:pPr>
      <w:r w:rsidRPr="006C3173">
        <w:rPr>
          <w:b/>
          <w:i/>
        </w:rPr>
        <w:t>Education</w:t>
      </w:r>
      <w:r w:rsidRPr="006C3173">
        <w:rPr>
          <w:b/>
          <w:i/>
          <w:lang w:eastAsia="en-GB"/>
        </w:rPr>
        <w:t xml:space="preserve"> </w:t>
      </w:r>
    </w:p>
    <w:bookmarkEnd w:id="44"/>
    <w:bookmarkEnd w:id="45"/>
    <w:p w14:paraId="438F1690" w14:textId="77777777" w:rsidR="006C3173" w:rsidRDefault="006C3173" w:rsidP="00D73FC4">
      <w:pPr>
        <w:spacing w:after="0"/>
        <w:jc w:val="both"/>
      </w:pPr>
    </w:p>
    <w:p w14:paraId="59B60FC3" w14:textId="702E841C" w:rsidR="005B7CEF" w:rsidRPr="005A62BD" w:rsidRDefault="005144FC" w:rsidP="00D73FC4">
      <w:pPr>
        <w:spacing w:after="0"/>
        <w:jc w:val="both"/>
      </w:pPr>
      <w:r w:rsidRPr="005A62BD">
        <w:t xml:space="preserve">Within the </w:t>
      </w:r>
      <w:r w:rsidRPr="005A62BD">
        <w:rPr>
          <w:i/>
        </w:rPr>
        <w:t xml:space="preserve">education area </w:t>
      </w:r>
      <w:r w:rsidRPr="005A62BD">
        <w:t xml:space="preserve">the CR </w:t>
      </w:r>
      <w:r w:rsidR="005B7CEF" w:rsidRPr="005A62BD">
        <w:t>2017</w:t>
      </w:r>
      <w:r w:rsidR="005A62BD">
        <w:t xml:space="preserve"> </w:t>
      </w:r>
      <w:r w:rsidR="00A83466" w:rsidRPr="005A62BD">
        <w:t xml:space="preserve">mainly </w:t>
      </w:r>
      <w:r w:rsidR="00F11C94" w:rsidRPr="005A62BD">
        <w:t xml:space="preserve">points to the lacks in </w:t>
      </w:r>
      <w:r w:rsidR="00A83466" w:rsidRPr="005A62BD">
        <w:t>inclusive education,</w:t>
      </w:r>
      <w:r w:rsidR="005B7CEF" w:rsidRPr="005A62BD">
        <w:t xml:space="preserve"> </w:t>
      </w:r>
      <w:r w:rsidR="00F11C94" w:rsidRPr="005A62BD">
        <w:t xml:space="preserve">deterioration of </w:t>
      </w:r>
      <w:r w:rsidR="005B7CEF" w:rsidRPr="005A62BD">
        <w:t xml:space="preserve">students’ basic skills and </w:t>
      </w:r>
      <w:r w:rsidR="00F11C94" w:rsidRPr="005A62BD">
        <w:t xml:space="preserve">persistence of </w:t>
      </w:r>
      <w:r w:rsidR="005B7CEF" w:rsidRPr="005A62BD">
        <w:t xml:space="preserve">the educational inequalities, low participation in early childhood education and care, </w:t>
      </w:r>
      <w:r w:rsidR="00A83466" w:rsidRPr="005A62BD">
        <w:t xml:space="preserve">early school leaving rate, </w:t>
      </w:r>
      <w:r w:rsidR="005B7CEF" w:rsidRPr="005A62BD">
        <w:t>attractiveness of teaching profession and labour market relevance of vocational education and training</w:t>
      </w:r>
      <w:r w:rsidR="002F69DE" w:rsidRPr="005A62BD">
        <w:t xml:space="preserve"> (dual vocational education and training)</w:t>
      </w:r>
      <w:r w:rsidR="005B7CEF" w:rsidRPr="005A62BD">
        <w:t>. Neither of these topics reveals specific disability-related issues.</w:t>
      </w:r>
      <w:r w:rsidR="005A62BD">
        <w:t xml:space="preserve"> </w:t>
      </w:r>
    </w:p>
    <w:p w14:paraId="71DC63BF" w14:textId="77777777" w:rsidR="00A83466" w:rsidRPr="005A62BD" w:rsidRDefault="00A83466" w:rsidP="00D73FC4">
      <w:pPr>
        <w:spacing w:after="0"/>
        <w:jc w:val="both"/>
      </w:pPr>
    </w:p>
    <w:p w14:paraId="3174C6CB" w14:textId="524C986B" w:rsidR="00A83466" w:rsidRPr="005A62BD" w:rsidRDefault="00A83466" w:rsidP="00D73FC4">
      <w:pPr>
        <w:spacing w:after="0"/>
        <w:jc w:val="both"/>
      </w:pPr>
      <w:r w:rsidRPr="005A62BD">
        <w:rPr>
          <w:i/>
        </w:rPr>
        <w:t>Inclusive education</w:t>
      </w:r>
      <w:r w:rsidRPr="005A62BD">
        <w:t xml:space="preserve"> is very actual and often discussed issue but only within the context of misplacement of children to special schools solely on their socially disadvantaged background. According to the State School Inspection and the Public Advocate of Rights there have been some practical difficulties in putting the reform into practice, e.g. the use of appropriate screening tests, re-diagnosis, placement back from special schools into mainstream schools, securing parental consent. Extra pedagogical staff to support the reform </w:t>
      </w:r>
      <w:r w:rsidR="00ED6B6A" w:rsidRPr="005A62BD">
        <w:t>is planned to</w:t>
      </w:r>
      <w:r w:rsidRPr="005A62BD">
        <w:t xml:space="preserve"> be added by two ESF projects. </w:t>
      </w:r>
    </w:p>
    <w:p w14:paraId="6D947183" w14:textId="77777777" w:rsidR="00A83466" w:rsidRPr="005A62BD" w:rsidRDefault="00A83466" w:rsidP="00D73FC4">
      <w:pPr>
        <w:spacing w:after="0"/>
        <w:jc w:val="both"/>
      </w:pPr>
    </w:p>
    <w:p w14:paraId="50CCFC84" w14:textId="30DA3F90" w:rsidR="007A2675" w:rsidRPr="005A62BD" w:rsidRDefault="007A2675" w:rsidP="00D73FC4">
      <w:pPr>
        <w:spacing w:after="0"/>
        <w:jc w:val="both"/>
      </w:pPr>
      <w:r w:rsidRPr="005A62BD">
        <w:lastRenderedPageBreak/>
        <w:t xml:space="preserve">Students’ </w:t>
      </w:r>
      <w:r w:rsidRPr="005A62BD">
        <w:rPr>
          <w:i/>
        </w:rPr>
        <w:t>basic skills deterioration</w:t>
      </w:r>
      <w:r w:rsidRPr="005A62BD">
        <w:t xml:space="preserve"> and remaining the educational inequalities has been discussed</w:t>
      </w:r>
      <w:r w:rsidR="00DB6354" w:rsidRPr="005A62BD">
        <w:t xml:space="preserve"> in CR 2017</w:t>
      </w:r>
      <w:r w:rsidRPr="005A62BD">
        <w:t xml:space="preserve"> in the context of PISA. </w:t>
      </w:r>
      <w:r w:rsidR="00ED6B6A" w:rsidRPr="005A62BD">
        <w:t>Average performance is significantly below the EU average</w:t>
      </w:r>
      <w:r w:rsidR="002C4876" w:rsidRPr="005A62BD">
        <w:t>.</w:t>
      </w:r>
      <w:r w:rsidR="00ED6B6A" w:rsidRPr="005A62BD">
        <w:t xml:space="preserve"> </w:t>
      </w:r>
      <w:r w:rsidR="002C4876" w:rsidRPr="005A62BD">
        <w:t>The</w:t>
      </w:r>
      <w:r w:rsidR="00ED6B6A" w:rsidRPr="005A62BD">
        <w:t xml:space="preserve"> proportion of low achievers is high mostly</w:t>
      </w:r>
      <w:r w:rsidR="002C4876" w:rsidRPr="005A62BD">
        <w:t xml:space="preserve"> among</w:t>
      </w:r>
      <w:r w:rsidR="00ED6B6A" w:rsidRPr="005A62BD">
        <w:t xml:space="preserve"> the pupils from </w:t>
      </w:r>
      <w:r w:rsidRPr="005A62BD">
        <w:t xml:space="preserve">social disadvantaged background. As it was mentioned in chapter </w:t>
      </w:r>
      <w:r w:rsidR="002C4876" w:rsidRPr="005A62BD">
        <w:t xml:space="preserve">4.2, </w:t>
      </w:r>
      <w:r w:rsidRPr="005A62BD">
        <w:t>there are no published PISA results of pupils with disabilities.</w:t>
      </w:r>
    </w:p>
    <w:p w14:paraId="048F73A6" w14:textId="77777777" w:rsidR="004C48F2" w:rsidRPr="005A62BD" w:rsidRDefault="004C48F2" w:rsidP="00D73FC4">
      <w:pPr>
        <w:spacing w:after="0"/>
        <w:jc w:val="both"/>
      </w:pPr>
    </w:p>
    <w:p w14:paraId="40147028" w14:textId="3D1C91FB" w:rsidR="001316B5" w:rsidRPr="005A62BD" w:rsidRDefault="004C48F2" w:rsidP="00D73FC4">
      <w:pPr>
        <w:spacing w:after="0"/>
        <w:jc w:val="both"/>
      </w:pPr>
      <w:r w:rsidRPr="005A62BD">
        <w:rPr>
          <w:i/>
        </w:rPr>
        <w:t>Low participation in early childhood education and care</w:t>
      </w:r>
      <w:r w:rsidRPr="005A62BD">
        <w:t xml:space="preserve"> is discussed in CR 2017 mainly within the context of Roma children (approx. at 34%). Generally, the participation rate in early childhood education and care among whole population of pre-school age</w:t>
      </w:r>
      <w:r w:rsidR="00DB6354" w:rsidRPr="005A62BD">
        <w:t>d</w:t>
      </w:r>
      <w:r w:rsidRPr="005A62BD">
        <w:t xml:space="preserve"> children is below the EU average (approx. 77.4% in 2014). The accessibility o</w:t>
      </w:r>
      <w:r w:rsidR="001316B5" w:rsidRPr="005A62BD">
        <w:t>f</w:t>
      </w:r>
      <w:r w:rsidRPr="005A62BD">
        <w:t xml:space="preserve"> mainstream early childhood education</w:t>
      </w:r>
      <w:r w:rsidR="001316B5" w:rsidRPr="005A62BD">
        <w:t xml:space="preserve"> and care</w:t>
      </w:r>
      <w:r w:rsidRPr="005A62BD">
        <w:t xml:space="preserve"> for children with disabilities (for details see chapter 4.2) is not mentioned in CR 2017</w:t>
      </w:r>
      <w:r w:rsidR="001316B5" w:rsidRPr="005A62BD">
        <w:t>, chapter Education.</w:t>
      </w:r>
    </w:p>
    <w:p w14:paraId="6E3E9489" w14:textId="77777777" w:rsidR="001316B5" w:rsidRPr="005A62BD" w:rsidRDefault="001316B5" w:rsidP="00D73FC4">
      <w:pPr>
        <w:spacing w:after="0"/>
        <w:jc w:val="both"/>
      </w:pPr>
    </w:p>
    <w:p w14:paraId="6A800A94" w14:textId="5207D69F" w:rsidR="00045ACD" w:rsidRPr="005A62BD" w:rsidRDefault="007A2675" w:rsidP="00D73FC4">
      <w:pPr>
        <w:spacing w:after="0"/>
        <w:jc w:val="both"/>
      </w:pPr>
      <w:r w:rsidRPr="005A62BD">
        <w:t xml:space="preserve">Slovakia belongs to the states with the lowest </w:t>
      </w:r>
      <w:r w:rsidRPr="005A62BD">
        <w:rPr>
          <w:i/>
        </w:rPr>
        <w:t>rate of early school leavers</w:t>
      </w:r>
      <w:r w:rsidR="006C3173">
        <w:rPr>
          <w:i/>
        </w:rPr>
        <w:t>,</w:t>
      </w:r>
      <w:r w:rsidR="00DB6354" w:rsidRPr="005A62BD">
        <w:t xml:space="preserve"> but regional disparities are </w:t>
      </w:r>
      <w:proofErr w:type="gramStart"/>
      <w:r w:rsidR="00DB6354" w:rsidRPr="005A62BD">
        <w:t>high</w:t>
      </w:r>
      <w:proofErr w:type="gramEnd"/>
      <w:r w:rsidR="00DB6354" w:rsidRPr="005A62BD">
        <w:t xml:space="preserve"> and the rate has been increasing since 2010.</w:t>
      </w:r>
      <w:r w:rsidR="009840FA" w:rsidRPr="005A62BD">
        <w:t xml:space="preserve"> Mostly children from socially disadvantaged background are expected to leave school early, what causes their </w:t>
      </w:r>
      <w:r w:rsidR="00045ACD" w:rsidRPr="005A62BD">
        <w:t>worse labour market prospects.</w:t>
      </w:r>
    </w:p>
    <w:p w14:paraId="19CE0C2E" w14:textId="77777777" w:rsidR="00045ACD" w:rsidRPr="005A62BD" w:rsidRDefault="00045ACD" w:rsidP="00D73FC4">
      <w:pPr>
        <w:spacing w:after="0"/>
        <w:jc w:val="both"/>
      </w:pPr>
    </w:p>
    <w:p w14:paraId="3A5AD0E2" w14:textId="11C16709" w:rsidR="007A2675" w:rsidRPr="005A62BD" w:rsidRDefault="00576A19" w:rsidP="00D73FC4">
      <w:pPr>
        <w:spacing w:after="0"/>
        <w:jc w:val="both"/>
      </w:pPr>
      <w:r w:rsidRPr="005A62BD">
        <w:t xml:space="preserve">According to the CR 2017 some initial steps have been take in making the </w:t>
      </w:r>
      <w:r w:rsidRPr="005A62BD">
        <w:rPr>
          <w:i/>
        </w:rPr>
        <w:t>teaching profession more attractive</w:t>
      </w:r>
      <w:r w:rsidRPr="005A62BD">
        <w:t xml:space="preserve">. Teacher’s salaries have been </w:t>
      </w:r>
      <w:proofErr w:type="gramStart"/>
      <w:r w:rsidRPr="005A62BD">
        <w:t>lower</w:t>
      </w:r>
      <w:proofErr w:type="gramEnd"/>
      <w:r w:rsidRPr="005A62BD">
        <w:t xml:space="preserve"> in international comparison</w:t>
      </w:r>
      <w:r w:rsidR="006C3173">
        <w:t>,</w:t>
      </w:r>
      <w:r w:rsidRPr="005A62BD">
        <w:t xml:space="preserve"> and nationally compared to salaries of workers with similar qualification levels. In September 2016 salaries increased by 6% and a further increase by 6% agreed in collective bargaining is expected in September 2017. The CR 2017 does not deal with the salaries of teachers at special schools</w:t>
      </w:r>
      <w:r w:rsidR="007A2675" w:rsidRPr="005A62BD">
        <w:t xml:space="preserve"> </w:t>
      </w:r>
      <w:r w:rsidR="00E31013" w:rsidRPr="005A62BD">
        <w:t>(for details see the part 5.2)</w:t>
      </w:r>
      <w:r w:rsidRPr="005A62BD">
        <w:t>. Improvements in initial teacher’s training, practical training and the further professional development also in the disability issues are needed.</w:t>
      </w:r>
      <w:r w:rsidR="005A62BD">
        <w:t xml:space="preserve"> </w:t>
      </w:r>
    </w:p>
    <w:p w14:paraId="2B57903B" w14:textId="39AF2EE6" w:rsidR="00AD22C1" w:rsidRPr="005A62BD" w:rsidRDefault="00AD22C1" w:rsidP="00D73FC4">
      <w:pPr>
        <w:spacing w:after="0"/>
        <w:jc w:val="both"/>
      </w:pPr>
    </w:p>
    <w:p w14:paraId="10A6FCD5" w14:textId="28F76077" w:rsidR="00AD22C1" w:rsidRPr="005A62BD" w:rsidRDefault="00AD22C1" w:rsidP="00D73FC4">
      <w:pPr>
        <w:spacing w:after="0"/>
        <w:jc w:val="both"/>
      </w:pPr>
      <w:r w:rsidRPr="005A62BD">
        <w:t xml:space="preserve">The </w:t>
      </w:r>
      <w:r w:rsidRPr="005A62BD">
        <w:rPr>
          <w:i/>
        </w:rPr>
        <w:t>dual vocational education and training</w:t>
      </w:r>
      <w:r w:rsidRPr="005A62BD">
        <w:t xml:space="preserve"> started its second year of implementation. </w:t>
      </w:r>
      <w:r w:rsidR="00C71B02" w:rsidRPr="005A62BD">
        <w:t>According to the CR 2017 the interest of employers in dual education is growing but it does not seem to be attractive for pupils or to certain schools. The data published in CR 2017 show that in 2016/2017 school year 293 companies signed up to the scheme offering 2,763 apprenticeship places. Due to the low demand only 1,121 contracts were signed in 142 companies. There are no data related to participation of pupils with disabilities in this system.</w:t>
      </w:r>
    </w:p>
    <w:p w14:paraId="5852DB1F" w14:textId="77777777" w:rsidR="005B7CEF" w:rsidRPr="005A62BD" w:rsidRDefault="005B7CEF" w:rsidP="00D73FC4">
      <w:pPr>
        <w:spacing w:after="0"/>
        <w:jc w:val="both"/>
      </w:pPr>
    </w:p>
    <w:p w14:paraId="4E5477AE" w14:textId="4D9A699D" w:rsidR="00D705EF" w:rsidRPr="005A62BD" w:rsidRDefault="003D7FAA" w:rsidP="00D73FC4">
      <w:pPr>
        <w:spacing w:after="0"/>
        <w:jc w:val="both"/>
      </w:pPr>
      <w:r w:rsidRPr="005A62BD">
        <w:t xml:space="preserve">The Country Report deals mainly with the education of children and pupils from socially disadvantaged background. </w:t>
      </w:r>
    </w:p>
    <w:p w14:paraId="4C8F057E" w14:textId="77777777" w:rsidR="005144FC" w:rsidRPr="005A62BD" w:rsidRDefault="005144FC" w:rsidP="00D73FC4">
      <w:pPr>
        <w:spacing w:after="0"/>
        <w:jc w:val="both"/>
        <w:rPr>
          <w:i/>
        </w:rPr>
      </w:pPr>
      <w:r w:rsidRPr="005A62BD">
        <w:rPr>
          <w:i/>
        </w:rPr>
        <w:t xml:space="preserve">Social protection </w:t>
      </w:r>
    </w:p>
    <w:p w14:paraId="3D4270F7" w14:textId="77777777" w:rsidR="00DB5165" w:rsidRPr="005A62BD" w:rsidRDefault="00DB5165" w:rsidP="00D73FC4">
      <w:pPr>
        <w:spacing w:after="0"/>
        <w:jc w:val="both"/>
      </w:pPr>
    </w:p>
    <w:p w14:paraId="38F4919E" w14:textId="16417F76" w:rsidR="0092302A" w:rsidRPr="005A62BD" w:rsidRDefault="00BF3927" w:rsidP="00D73FC4">
      <w:pPr>
        <w:spacing w:after="0"/>
        <w:jc w:val="both"/>
      </w:pPr>
      <w:r w:rsidRPr="005A62BD">
        <w:t>T</w:t>
      </w:r>
      <w:r w:rsidR="0092302A" w:rsidRPr="005A62BD">
        <w:t xml:space="preserve">he CR 2017 </w:t>
      </w:r>
      <w:r w:rsidRPr="005A62BD">
        <w:t xml:space="preserve">pays special </w:t>
      </w:r>
      <w:r w:rsidR="0092302A" w:rsidRPr="005A62BD">
        <w:t xml:space="preserve">attention to a long-term care system in Slovakia which </w:t>
      </w:r>
      <w:r w:rsidR="002C1EE0" w:rsidRPr="005A62BD">
        <w:t xml:space="preserve">has </w:t>
      </w:r>
      <w:r w:rsidR="0092302A" w:rsidRPr="005A62BD">
        <w:t xml:space="preserve">still </w:t>
      </w:r>
      <w:r w:rsidR="002C1EE0" w:rsidRPr="005A62BD">
        <w:t xml:space="preserve">been considered </w:t>
      </w:r>
      <w:r w:rsidR="0092302A" w:rsidRPr="005A62BD">
        <w:t xml:space="preserve">underdeveloped. The document highlights some positive steps adopted in public support of informal caring </w:t>
      </w:r>
      <w:r w:rsidR="006C43E1" w:rsidRPr="005A62BD">
        <w:t>in home setting</w:t>
      </w:r>
      <w:r w:rsidR="00162985" w:rsidRPr="005A62BD">
        <w:t>s</w:t>
      </w:r>
      <w:r w:rsidR="006C43E1" w:rsidRPr="005A62BD">
        <w:t xml:space="preserve"> </w:t>
      </w:r>
      <w:r w:rsidR="0092302A" w:rsidRPr="005A62BD">
        <w:t>(increasing rate of care allowance</w:t>
      </w:r>
      <w:r w:rsidR="006C43E1" w:rsidRPr="005A62BD">
        <w:t xml:space="preserve"> for care – givers; increasing the safeguard limit on the income of care – takers; and providing state pension insurance for informal carers without any time limit). On the other hand, the CR 2017 raises a critique </w:t>
      </w:r>
      <w:r w:rsidR="000E6012" w:rsidRPr="005A62BD">
        <w:t xml:space="preserve">referring to </w:t>
      </w:r>
      <w:r w:rsidR="006C43E1" w:rsidRPr="005A62BD">
        <w:t xml:space="preserve">only </w:t>
      </w:r>
      <w:r w:rsidR="000E6012" w:rsidRPr="005A62BD">
        <w:t xml:space="preserve">a </w:t>
      </w:r>
      <w:r w:rsidR="006C43E1" w:rsidRPr="005A62BD">
        <w:t xml:space="preserve">slow transition from institutional to </w:t>
      </w:r>
      <w:r w:rsidR="006C3173" w:rsidRPr="005A62BD">
        <w:t>community-based</w:t>
      </w:r>
      <w:r w:rsidR="006C43E1" w:rsidRPr="005A62BD">
        <w:t xml:space="preserve"> care and still not </w:t>
      </w:r>
      <w:proofErr w:type="gramStart"/>
      <w:r w:rsidR="006C43E1" w:rsidRPr="005A62BD">
        <w:t>sufficient</w:t>
      </w:r>
      <w:proofErr w:type="gramEnd"/>
      <w:r w:rsidR="006C43E1" w:rsidRPr="005A62BD">
        <w:t xml:space="preserve"> support </w:t>
      </w:r>
      <w:r w:rsidR="000E6012" w:rsidRPr="005A62BD">
        <w:t xml:space="preserve">for </w:t>
      </w:r>
      <w:r w:rsidR="000E6012" w:rsidRPr="005A62BD">
        <w:lastRenderedPageBreak/>
        <w:t>in</w:t>
      </w:r>
      <w:r w:rsidR="006C43E1" w:rsidRPr="005A62BD">
        <w:t xml:space="preserve">dependent living </w:t>
      </w:r>
      <w:r w:rsidR="000E6012" w:rsidRPr="005A62BD">
        <w:t>o</w:t>
      </w:r>
      <w:r w:rsidR="006C43E1" w:rsidRPr="005A62BD">
        <w:t xml:space="preserve">f PWD following relevant UN Committee´ s Concluding Observations. </w:t>
      </w:r>
    </w:p>
    <w:p w14:paraId="1449DBC8" w14:textId="77777777" w:rsidR="003F359E" w:rsidRPr="005A62BD" w:rsidRDefault="003F359E" w:rsidP="00D73FC4">
      <w:pPr>
        <w:spacing w:after="0"/>
        <w:jc w:val="both"/>
      </w:pPr>
    </w:p>
    <w:p w14:paraId="198324BB" w14:textId="360B9D54" w:rsidR="005144FC" w:rsidRPr="005A62BD" w:rsidRDefault="005144FC" w:rsidP="00D73FC4">
      <w:pPr>
        <w:spacing w:after="0"/>
        <w:jc w:val="both"/>
      </w:pPr>
      <w:proofErr w:type="gramStart"/>
      <w:r w:rsidRPr="005A62BD">
        <w:t>Despite the fact that</w:t>
      </w:r>
      <w:proofErr w:type="gramEnd"/>
      <w:r w:rsidRPr="005A62BD">
        <w:t xml:space="preserve"> social services provided to care dependent persons in their natural </w:t>
      </w:r>
      <w:r w:rsidR="00361DEE" w:rsidRPr="005A62BD">
        <w:t xml:space="preserve">(home) </w:t>
      </w:r>
      <w:r w:rsidRPr="005A62BD">
        <w:t xml:space="preserve">settings are declared as a national priority in social services (National, 2014) the home care services remain only a weak element of the system of community-based services. Thanks to national projects funded from ESF </w:t>
      </w:r>
      <w:r w:rsidR="00787F54" w:rsidRPr="005A62BD">
        <w:t xml:space="preserve">which have been </w:t>
      </w:r>
      <w:r w:rsidRPr="005A62BD">
        <w:t xml:space="preserve">focused </w:t>
      </w:r>
      <w:r w:rsidR="00787F54" w:rsidRPr="005A62BD">
        <w:t xml:space="preserve">on </w:t>
      </w:r>
      <w:r w:rsidRPr="005A62BD">
        <w:t xml:space="preserve">support </w:t>
      </w:r>
      <w:r w:rsidR="00E44BBB" w:rsidRPr="005A62BD">
        <w:t xml:space="preserve">of </w:t>
      </w:r>
      <w:r w:rsidRPr="005A62BD">
        <w:t>home care services for care dependent persons, a total number of recipients has increased since 2015. However, access to home care services for all in need has been still limited and residential care has been increasingly preferred.</w:t>
      </w:r>
      <w:r w:rsidR="003F4E08" w:rsidRPr="005A62BD">
        <w:t xml:space="preserve"> </w:t>
      </w:r>
    </w:p>
    <w:p w14:paraId="5724D49A" w14:textId="77777777" w:rsidR="009B0D02" w:rsidRPr="005A62BD" w:rsidRDefault="009B0D02" w:rsidP="00AB2EF5">
      <w:pPr>
        <w:spacing w:after="0"/>
        <w:rPr>
          <w:lang w:eastAsia="en-GB"/>
        </w:rPr>
      </w:pPr>
    </w:p>
    <w:p w14:paraId="3AFCFA67" w14:textId="77777777" w:rsidR="006B7206" w:rsidRPr="005A62BD" w:rsidRDefault="006B7206" w:rsidP="00D73FC4">
      <w:pPr>
        <w:pStyle w:val="Heading1"/>
        <w:jc w:val="both"/>
        <w:rPr>
          <w:lang w:eastAsia="en-GB"/>
        </w:rPr>
      </w:pPr>
      <w:bookmarkStart w:id="46" w:name="_Toc499120890"/>
      <w:r w:rsidRPr="005A62BD">
        <w:rPr>
          <w:lang w:eastAsia="en-GB"/>
        </w:rPr>
        <w:lastRenderedPageBreak/>
        <w:t>Assessment of the structural funds ESIF 2014-2020 or other relevant funds</w:t>
      </w:r>
      <w:r w:rsidR="001335A3" w:rsidRPr="005A62BD">
        <w:t xml:space="preserve"> </w:t>
      </w:r>
      <w:r w:rsidR="001335A3" w:rsidRPr="005A62BD">
        <w:rPr>
          <w:lang w:eastAsia="en-GB"/>
        </w:rPr>
        <w:t>in relation to disability challenges</w:t>
      </w:r>
      <w:bookmarkEnd w:id="46"/>
    </w:p>
    <w:p w14:paraId="161F0ED2" w14:textId="77777777" w:rsidR="00DB5165" w:rsidRPr="005A62BD" w:rsidRDefault="00DB5165" w:rsidP="00D73FC4">
      <w:pPr>
        <w:spacing w:after="0"/>
        <w:jc w:val="both"/>
        <w:rPr>
          <w:lang w:eastAsia="en-GB"/>
        </w:rPr>
      </w:pPr>
    </w:p>
    <w:p w14:paraId="40885A1E" w14:textId="77777777" w:rsidR="005144FC" w:rsidRPr="005A62BD" w:rsidRDefault="005144FC" w:rsidP="00D73FC4">
      <w:pPr>
        <w:spacing w:after="0"/>
        <w:jc w:val="both"/>
        <w:rPr>
          <w:lang w:eastAsia="en-GB"/>
        </w:rPr>
      </w:pPr>
      <w:r w:rsidRPr="005A62BD">
        <w:rPr>
          <w:lang w:eastAsia="en-GB"/>
        </w:rPr>
        <w:t xml:space="preserve">The </w:t>
      </w:r>
      <w:r w:rsidRPr="005A62BD">
        <w:rPr>
          <w:i/>
          <w:lang w:eastAsia="en-GB"/>
        </w:rPr>
        <w:t xml:space="preserve">Operational Program Human Resources </w:t>
      </w:r>
      <w:r w:rsidRPr="005A62BD">
        <w:rPr>
          <w:lang w:eastAsia="en-GB"/>
        </w:rPr>
        <w:t xml:space="preserve">which covers all relevant fields, namely employment, education, as well as social inclusion issues, has become the most important program from the disability perspective for period 2014-2020. </w:t>
      </w:r>
    </w:p>
    <w:p w14:paraId="49F603D8" w14:textId="69C42CAF" w:rsidR="003535D7" w:rsidRPr="005A62BD" w:rsidRDefault="0033358C" w:rsidP="00D73FC4">
      <w:pPr>
        <w:spacing w:after="0"/>
        <w:jc w:val="both"/>
        <w:rPr>
          <w:lang w:eastAsia="en-GB"/>
        </w:rPr>
      </w:pPr>
      <w:r w:rsidRPr="005A62BD">
        <w:rPr>
          <w:lang w:eastAsia="en-GB"/>
        </w:rPr>
        <w:t>The Operational Programme is run under the auspices of Monitoring Committee, and its commissions for different priority axes. One of the members of the Commission for priority axes 2, 3, 4</w:t>
      </w:r>
      <w:r w:rsidR="00C418E4" w:rsidRPr="005A62BD">
        <w:rPr>
          <w:rStyle w:val="FootnoteReference"/>
          <w:lang w:eastAsia="en-GB"/>
        </w:rPr>
        <w:footnoteReference w:id="62"/>
      </w:r>
      <w:r w:rsidRPr="005A62BD">
        <w:rPr>
          <w:lang w:eastAsia="en-GB"/>
        </w:rPr>
        <w:t xml:space="preserve"> </w:t>
      </w:r>
      <w:r w:rsidR="00C418E4" w:rsidRPr="005A62BD">
        <w:rPr>
          <w:lang w:eastAsia="en-GB"/>
        </w:rPr>
        <w:t xml:space="preserve">at the Ministry of Labour, Social Affairs and Family, </w:t>
      </w:r>
      <w:r w:rsidRPr="005A62BD">
        <w:rPr>
          <w:lang w:eastAsia="en-GB"/>
        </w:rPr>
        <w:t xml:space="preserve">is a representative of Slovak Disability Council as an umbrella organisation associating organisations of people with various types of disabilities. </w:t>
      </w:r>
    </w:p>
    <w:p w14:paraId="08B1C641" w14:textId="77777777" w:rsidR="0033358C" w:rsidRPr="005A62BD" w:rsidRDefault="0033358C" w:rsidP="00D73FC4">
      <w:pPr>
        <w:spacing w:after="0"/>
        <w:jc w:val="both"/>
        <w:rPr>
          <w:lang w:eastAsia="en-GB"/>
        </w:rPr>
      </w:pPr>
    </w:p>
    <w:p w14:paraId="20A57654" w14:textId="5C3375FA" w:rsidR="003535D7" w:rsidRPr="005A62BD" w:rsidRDefault="003535D7" w:rsidP="00D73FC4">
      <w:pPr>
        <w:spacing w:after="0"/>
        <w:jc w:val="both"/>
        <w:rPr>
          <w:lang w:eastAsia="en-GB"/>
        </w:rPr>
      </w:pPr>
      <w:r w:rsidRPr="005A62BD">
        <w:rPr>
          <w:lang w:eastAsia="en-GB"/>
        </w:rPr>
        <w:t>Worth mentioning is</w:t>
      </w:r>
      <w:r w:rsidR="005A62BD">
        <w:rPr>
          <w:lang w:eastAsia="en-GB"/>
        </w:rPr>
        <w:t xml:space="preserve"> </w:t>
      </w:r>
      <w:r w:rsidRPr="005A62BD">
        <w:rPr>
          <w:lang w:eastAsia="en-GB"/>
        </w:rPr>
        <w:t>ESF call “</w:t>
      </w:r>
      <w:r w:rsidRPr="005A62BD">
        <w:rPr>
          <w:i/>
          <w:lang w:eastAsia="en-GB"/>
        </w:rPr>
        <w:t>Education of representatives of disabled peoples’ organisations on the rights of people with disabilities</w:t>
      </w:r>
      <w:r w:rsidR="00691B5A">
        <w:rPr>
          <w:lang w:eastAsia="en-GB"/>
        </w:rPr>
        <w:t>’’,</w:t>
      </w:r>
      <w:r w:rsidRPr="005A62BD">
        <w:rPr>
          <w:rStyle w:val="FootnoteReference"/>
          <w:lang w:eastAsia="en-GB"/>
        </w:rPr>
        <w:footnoteReference w:id="63"/>
      </w:r>
      <w:r w:rsidRPr="005A62BD">
        <w:rPr>
          <w:lang w:eastAsia="en-GB"/>
        </w:rPr>
        <w:t xml:space="preserve"> within the investment priority 4.1, and specific target 4.1.2. Indicative allocation is EUR 500,000. The call was announced on June 9, 2017, and the deadline for the proposals in the 1st round </w:t>
      </w:r>
      <w:r w:rsidR="00C418E4" w:rsidRPr="005A62BD">
        <w:rPr>
          <w:lang w:eastAsia="en-GB"/>
        </w:rPr>
        <w:t xml:space="preserve">was </w:t>
      </w:r>
      <w:r w:rsidRPr="005A62BD">
        <w:rPr>
          <w:lang w:eastAsia="en-GB"/>
        </w:rPr>
        <w:t xml:space="preserve">September 21, 2017. </w:t>
      </w:r>
    </w:p>
    <w:p w14:paraId="06B946B7" w14:textId="77777777" w:rsidR="00DB5165" w:rsidRPr="005A62BD" w:rsidRDefault="00DB5165" w:rsidP="00D73FC4">
      <w:pPr>
        <w:spacing w:after="0"/>
        <w:jc w:val="both"/>
        <w:rPr>
          <w:lang w:eastAsia="en-GB"/>
        </w:rPr>
      </w:pPr>
    </w:p>
    <w:p w14:paraId="0CDA97ED" w14:textId="77777777" w:rsidR="005144FC" w:rsidRPr="005A62BD" w:rsidRDefault="005144FC" w:rsidP="00D73FC4">
      <w:pPr>
        <w:pStyle w:val="ListParagraph"/>
        <w:numPr>
          <w:ilvl w:val="0"/>
          <w:numId w:val="16"/>
        </w:numPr>
        <w:tabs>
          <w:tab w:val="left" w:pos="567"/>
        </w:tabs>
        <w:spacing w:after="0"/>
        <w:ind w:left="567" w:hanging="567"/>
        <w:contextualSpacing w:val="0"/>
        <w:jc w:val="both"/>
      </w:pPr>
      <w:r w:rsidRPr="005A62BD">
        <w:rPr>
          <w:b/>
        </w:rPr>
        <w:t xml:space="preserve">Examples of national projects in employment area </w:t>
      </w:r>
    </w:p>
    <w:p w14:paraId="3903107A" w14:textId="77777777" w:rsidR="00DB5165" w:rsidRPr="005A62BD" w:rsidRDefault="00DB5165" w:rsidP="00D73FC4">
      <w:pPr>
        <w:spacing w:after="0"/>
        <w:jc w:val="both"/>
        <w:rPr>
          <w:rFonts w:eastAsia="SimSun"/>
          <w:bCs/>
          <w:i/>
          <w:lang w:eastAsia="en-GB"/>
        </w:rPr>
      </w:pPr>
    </w:p>
    <w:p w14:paraId="459BE6B2" w14:textId="77777777" w:rsidR="005144FC" w:rsidRPr="005A62BD" w:rsidRDefault="005144FC" w:rsidP="00D73FC4">
      <w:pPr>
        <w:spacing w:after="0"/>
        <w:jc w:val="both"/>
        <w:rPr>
          <w:i/>
        </w:rPr>
      </w:pPr>
      <w:r w:rsidRPr="005A62BD">
        <w:rPr>
          <w:rFonts w:eastAsia="SimSun"/>
          <w:bCs/>
          <w:i/>
          <w:lang w:eastAsia="en-GB"/>
        </w:rPr>
        <w:t xml:space="preserve">National project: </w:t>
      </w:r>
      <w:r w:rsidRPr="005A62BD">
        <w:rPr>
          <w:i/>
        </w:rPr>
        <w:t xml:space="preserve">Youth Guarantee </w:t>
      </w:r>
    </w:p>
    <w:p w14:paraId="7E5222FA" w14:textId="77777777" w:rsidR="00204C4E" w:rsidRDefault="00204C4E" w:rsidP="00D73FC4">
      <w:pPr>
        <w:spacing w:after="0"/>
        <w:jc w:val="both"/>
      </w:pPr>
    </w:p>
    <w:p w14:paraId="71A5C177" w14:textId="1A3F0291" w:rsidR="00691B5A" w:rsidRDefault="005144FC" w:rsidP="00D73FC4">
      <w:pPr>
        <w:spacing w:after="0"/>
        <w:jc w:val="both"/>
      </w:pPr>
      <w:r w:rsidRPr="005A62BD">
        <w:t>Slovakia has implemented youth guarantee programme to address high rate of youth unemployment. Report on the implementation of youth guarantee in 201</w:t>
      </w:r>
      <w:r w:rsidR="00C46FD4" w:rsidRPr="005A62BD">
        <w:t>5</w:t>
      </w:r>
      <w:r w:rsidRPr="005A62BD">
        <w:rPr>
          <w:rStyle w:val="FootnoteReference"/>
        </w:rPr>
        <w:footnoteReference w:id="64"/>
      </w:r>
      <w:r w:rsidRPr="005A62BD">
        <w:t xml:space="preserve"> does not specifically mention young people with disabilities</w:t>
      </w:r>
      <w:r w:rsidR="00CB6263" w:rsidRPr="005A62BD">
        <w:t xml:space="preserve"> but</w:t>
      </w:r>
      <w:r w:rsidR="00B17403" w:rsidRPr="005A62BD">
        <w:t xml:space="preserve">, based on the data </w:t>
      </w:r>
      <w:r w:rsidR="00CB6263" w:rsidRPr="005A62BD">
        <w:t>from</w:t>
      </w:r>
      <w:r w:rsidR="00B17403" w:rsidRPr="005A62BD">
        <w:t xml:space="preserve"> </w:t>
      </w:r>
      <w:proofErr w:type="spellStart"/>
      <w:r w:rsidR="00B17403" w:rsidRPr="005A62BD">
        <w:t>COLSaF</w:t>
      </w:r>
      <w:proofErr w:type="spellEnd"/>
      <w:r w:rsidR="00B17403" w:rsidRPr="005A62BD">
        <w:t xml:space="preserve">, participation of young people with disabilities in related measures can be estimated as follows: </w:t>
      </w:r>
    </w:p>
    <w:p w14:paraId="1A18F027" w14:textId="77777777" w:rsidR="00D73FC4" w:rsidRPr="005A62BD" w:rsidRDefault="00D73FC4" w:rsidP="00691B5A">
      <w:pPr>
        <w:spacing w:after="0"/>
      </w:pPr>
    </w:p>
    <w:tbl>
      <w:tblPr>
        <w:tblStyle w:val="TableGrid"/>
        <w:tblW w:w="0" w:type="auto"/>
        <w:tblInd w:w="-12" w:type="dxa"/>
        <w:tblLook w:val="04A0" w:firstRow="1" w:lastRow="0" w:firstColumn="1" w:lastColumn="0" w:noHBand="0" w:noVBand="1"/>
      </w:tblPr>
      <w:tblGrid>
        <w:gridCol w:w="2842"/>
        <w:gridCol w:w="1700"/>
        <w:gridCol w:w="2128"/>
        <w:gridCol w:w="2402"/>
      </w:tblGrid>
      <w:tr w:rsidR="00B17403" w:rsidRPr="005A62BD" w14:paraId="789A3867" w14:textId="77777777" w:rsidTr="00691B5A">
        <w:tc>
          <w:tcPr>
            <w:tcW w:w="2842" w:type="dxa"/>
          </w:tcPr>
          <w:p w14:paraId="12980F61" w14:textId="77777777" w:rsidR="00B17403" w:rsidRPr="005A62BD" w:rsidRDefault="00B17403" w:rsidP="00AB2EF5">
            <w:pPr>
              <w:spacing w:after="0"/>
              <w:rPr>
                <w:b/>
              </w:rPr>
            </w:pPr>
            <w:r w:rsidRPr="005A62BD">
              <w:rPr>
                <w:b/>
              </w:rPr>
              <w:t>Measure</w:t>
            </w:r>
          </w:p>
        </w:tc>
        <w:tc>
          <w:tcPr>
            <w:tcW w:w="1700" w:type="dxa"/>
          </w:tcPr>
          <w:p w14:paraId="6E92C9B6" w14:textId="77777777" w:rsidR="00B17403" w:rsidRPr="005A62BD" w:rsidRDefault="00B17403" w:rsidP="00AB2EF5">
            <w:pPr>
              <w:spacing w:after="0"/>
              <w:rPr>
                <w:b/>
              </w:rPr>
            </w:pPr>
            <w:r w:rsidRPr="005A62BD">
              <w:rPr>
                <w:b/>
              </w:rPr>
              <w:t>All participants</w:t>
            </w:r>
          </w:p>
        </w:tc>
        <w:tc>
          <w:tcPr>
            <w:tcW w:w="2128" w:type="dxa"/>
          </w:tcPr>
          <w:p w14:paraId="10514448" w14:textId="77777777" w:rsidR="00B17403" w:rsidRPr="005A62BD" w:rsidRDefault="00B17403" w:rsidP="00AB2EF5">
            <w:pPr>
              <w:spacing w:after="0"/>
              <w:rPr>
                <w:b/>
              </w:rPr>
            </w:pPr>
            <w:r w:rsidRPr="005A62BD">
              <w:rPr>
                <w:b/>
              </w:rPr>
              <w:t>Disabled participants</w:t>
            </w:r>
          </w:p>
        </w:tc>
        <w:tc>
          <w:tcPr>
            <w:tcW w:w="2402" w:type="dxa"/>
          </w:tcPr>
          <w:p w14:paraId="18B526B2" w14:textId="77777777" w:rsidR="00B17403" w:rsidRPr="005A62BD" w:rsidRDefault="00B17403" w:rsidP="00AB2EF5">
            <w:pPr>
              <w:spacing w:after="0"/>
              <w:rPr>
                <w:b/>
              </w:rPr>
            </w:pPr>
            <w:r w:rsidRPr="005A62BD">
              <w:rPr>
                <w:b/>
              </w:rPr>
              <w:t>Financial allocation (</w:t>
            </w:r>
            <w:proofErr w:type="spellStart"/>
            <w:r w:rsidRPr="005A62BD">
              <w:rPr>
                <w:b/>
              </w:rPr>
              <w:t>eur</w:t>
            </w:r>
            <w:proofErr w:type="spellEnd"/>
            <w:r w:rsidRPr="005A62BD">
              <w:rPr>
                <w:b/>
              </w:rPr>
              <w:t>)</w:t>
            </w:r>
          </w:p>
        </w:tc>
      </w:tr>
      <w:tr w:rsidR="00B17403" w:rsidRPr="005A62BD" w14:paraId="007EFA77" w14:textId="77777777" w:rsidTr="00691B5A">
        <w:tc>
          <w:tcPr>
            <w:tcW w:w="2842" w:type="dxa"/>
          </w:tcPr>
          <w:p w14:paraId="4F72BB08" w14:textId="77777777" w:rsidR="00B17403" w:rsidRPr="005A62BD" w:rsidRDefault="002860BB" w:rsidP="00AB2EF5">
            <w:pPr>
              <w:spacing w:after="0"/>
            </w:pPr>
            <w:proofErr w:type="spellStart"/>
            <w:r w:rsidRPr="005A62BD">
              <w:t>Praxou</w:t>
            </w:r>
            <w:proofErr w:type="spellEnd"/>
            <w:r w:rsidRPr="005A62BD">
              <w:t xml:space="preserve"> k </w:t>
            </w:r>
            <w:proofErr w:type="spellStart"/>
            <w:r w:rsidRPr="005A62BD">
              <w:t>zamestnaniu</w:t>
            </w:r>
            <w:proofErr w:type="spellEnd"/>
            <w:r w:rsidRPr="005A62BD">
              <w:t xml:space="preserve"> / Through traineeship to employment</w:t>
            </w:r>
          </w:p>
        </w:tc>
        <w:tc>
          <w:tcPr>
            <w:tcW w:w="1700" w:type="dxa"/>
          </w:tcPr>
          <w:p w14:paraId="7F7E063B" w14:textId="77777777" w:rsidR="00B17403" w:rsidRPr="005A62BD" w:rsidRDefault="00EA7037" w:rsidP="00AB2EF5">
            <w:pPr>
              <w:spacing w:after="0"/>
            </w:pPr>
            <w:r w:rsidRPr="005A62BD">
              <w:t>290</w:t>
            </w:r>
          </w:p>
        </w:tc>
        <w:tc>
          <w:tcPr>
            <w:tcW w:w="2128" w:type="dxa"/>
          </w:tcPr>
          <w:p w14:paraId="20C20DF5" w14:textId="77777777" w:rsidR="00B17403" w:rsidRPr="005A62BD" w:rsidRDefault="00667179" w:rsidP="00AB2EF5">
            <w:pPr>
              <w:spacing w:after="0"/>
            </w:pPr>
            <w:r w:rsidRPr="005A62BD">
              <w:t>4</w:t>
            </w:r>
          </w:p>
        </w:tc>
        <w:tc>
          <w:tcPr>
            <w:tcW w:w="2402" w:type="dxa"/>
          </w:tcPr>
          <w:p w14:paraId="4F9E21AE" w14:textId="77777777" w:rsidR="00B17403" w:rsidRPr="005A62BD" w:rsidRDefault="00EA7037" w:rsidP="00AB2EF5">
            <w:pPr>
              <w:spacing w:after="0"/>
            </w:pPr>
            <w:r w:rsidRPr="005A62BD">
              <w:t>750</w:t>
            </w:r>
            <w:r w:rsidR="00667179" w:rsidRPr="005A62BD">
              <w:t xml:space="preserve"> </w:t>
            </w:r>
            <w:r w:rsidRPr="005A62BD">
              <w:t>616</w:t>
            </w:r>
          </w:p>
        </w:tc>
      </w:tr>
      <w:tr w:rsidR="00B17403" w:rsidRPr="005A62BD" w14:paraId="7745E9BA" w14:textId="77777777" w:rsidTr="00691B5A">
        <w:tc>
          <w:tcPr>
            <w:tcW w:w="2842" w:type="dxa"/>
          </w:tcPr>
          <w:p w14:paraId="225B4A13" w14:textId="77777777" w:rsidR="00B17403" w:rsidRPr="005A62BD" w:rsidRDefault="00C360FA" w:rsidP="00AB2EF5">
            <w:pPr>
              <w:spacing w:after="0"/>
            </w:pPr>
            <w:proofErr w:type="spellStart"/>
            <w:r w:rsidRPr="005A62BD">
              <w:t>Absolventská</w:t>
            </w:r>
            <w:proofErr w:type="spellEnd"/>
            <w:r w:rsidRPr="005A62BD">
              <w:t xml:space="preserve"> </w:t>
            </w:r>
            <w:proofErr w:type="spellStart"/>
            <w:r w:rsidRPr="005A62BD">
              <w:t>prax</w:t>
            </w:r>
            <w:proofErr w:type="spellEnd"/>
            <w:r w:rsidRPr="005A62BD">
              <w:t xml:space="preserve"> / Graduates practice</w:t>
            </w:r>
          </w:p>
        </w:tc>
        <w:tc>
          <w:tcPr>
            <w:tcW w:w="1700" w:type="dxa"/>
          </w:tcPr>
          <w:p w14:paraId="23358024" w14:textId="77777777" w:rsidR="00B17403" w:rsidRPr="005A62BD" w:rsidRDefault="00C360FA" w:rsidP="00AB2EF5">
            <w:pPr>
              <w:spacing w:after="0"/>
            </w:pPr>
            <w:r w:rsidRPr="005A62BD">
              <w:t>2</w:t>
            </w:r>
            <w:r w:rsidR="00FC2E41" w:rsidRPr="005A62BD">
              <w:t> </w:t>
            </w:r>
            <w:r w:rsidRPr="005A62BD">
              <w:t>203</w:t>
            </w:r>
          </w:p>
        </w:tc>
        <w:tc>
          <w:tcPr>
            <w:tcW w:w="2128" w:type="dxa"/>
          </w:tcPr>
          <w:p w14:paraId="56819DC3" w14:textId="77777777" w:rsidR="00B17403" w:rsidRPr="005A62BD" w:rsidRDefault="00C360FA" w:rsidP="00AB2EF5">
            <w:pPr>
              <w:spacing w:after="0"/>
            </w:pPr>
            <w:r w:rsidRPr="005A62BD">
              <w:t>9</w:t>
            </w:r>
          </w:p>
        </w:tc>
        <w:tc>
          <w:tcPr>
            <w:tcW w:w="2402" w:type="dxa"/>
          </w:tcPr>
          <w:p w14:paraId="458E1845" w14:textId="77777777" w:rsidR="00B17403" w:rsidRPr="005A62BD" w:rsidRDefault="00FC2E41" w:rsidP="00AB2EF5">
            <w:pPr>
              <w:spacing w:after="0"/>
            </w:pPr>
            <w:r w:rsidRPr="005A62BD">
              <w:t>1 203 811</w:t>
            </w:r>
          </w:p>
        </w:tc>
      </w:tr>
      <w:tr w:rsidR="00B17403" w:rsidRPr="005A62BD" w14:paraId="758023F5" w14:textId="77777777" w:rsidTr="00691B5A">
        <w:tc>
          <w:tcPr>
            <w:tcW w:w="2842" w:type="dxa"/>
          </w:tcPr>
          <w:p w14:paraId="50247C88" w14:textId="77777777" w:rsidR="00B17403" w:rsidRPr="005A62BD" w:rsidRDefault="00924D11" w:rsidP="00AB2EF5">
            <w:pPr>
              <w:spacing w:after="0"/>
            </w:pPr>
            <w:r w:rsidRPr="005A62BD">
              <w:t>Total</w:t>
            </w:r>
          </w:p>
        </w:tc>
        <w:tc>
          <w:tcPr>
            <w:tcW w:w="1700" w:type="dxa"/>
          </w:tcPr>
          <w:p w14:paraId="22CA3FE8" w14:textId="77777777" w:rsidR="00B17403" w:rsidRPr="005A62BD" w:rsidRDefault="00924D11" w:rsidP="00AB2EF5">
            <w:pPr>
              <w:spacing w:after="0"/>
            </w:pPr>
            <w:r w:rsidRPr="005A62BD">
              <w:t>2</w:t>
            </w:r>
            <w:r w:rsidR="00147959" w:rsidRPr="005A62BD">
              <w:t> </w:t>
            </w:r>
            <w:r w:rsidRPr="005A62BD">
              <w:t>493</w:t>
            </w:r>
          </w:p>
        </w:tc>
        <w:tc>
          <w:tcPr>
            <w:tcW w:w="2128" w:type="dxa"/>
          </w:tcPr>
          <w:p w14:paraId="44025A3C" w14:textId="77777777" w:rsidR="00B17403" w:rsidRPr="005A62BD" w:rsidRDefault="00924D11" w:rsidP="00AB2EF5">
            <w:pPr>
              <w:spacing w:after="0"/>
            </w:pPr>
            <w:r w:rsidRPr="005A62BD">
              <w:t>13</w:t>
            </w:r>
          </w:p>
        </w:tc>
        <w:tc>
          <w:tcPr>
            <w:tcW w:w="2402" w:type="dxa"/>
          </w:tcPr>
          <w:p w14:paraId="294C770E" w14:textId="77777777" w:rsidR="00B17403" w:rsidRPr="005A62BD" w:rsidRDefault="00147959" w:rsidP="00AB2EF5">
            <w:pPr>
              <w:spacing w:after="0"/>
            </w:pPr>
            <w:r w:rsidRPr="005A62BD">
              <w:t>1 </w:t>
            </w:r>
            <w:r w:rsidR="00CE0735" w:rsidRPr="005A62BD">
              <w:t>9</w:t>
            </w:r>
            <w:r w:rsidRPr="005A62BD">
              <w:t xml:space="preserve">54 427 </w:t>
            </w:r>
          </w:p>
        </w:tc>
      </w:tr>
    </w:tbl>
    <w:p w14:paraId="4FF05FF8" w14:textId="6AA370C3" w:rsidR="005144FC" w:rsidRDefault="00CE0735" w:rsidP="00AB2EF5">
      <w:pPr>
        <w:spacing w:after="0"/>
        <w:ind w:left="-12"/>
        <w:rPr>
          <w:i/>
        </w:rPr>
      </w:pPr>
      <w:r w:rsidRPr="005A62BD">
        <w:rPr>
          <w:i/>
        </w:rPr>
        <w:t xml:space="preserve">Source: </w:t>
      </w:r>
      <w:proofErr w:type="spellStart"/>
      <w:r w:rsidRPr="005A62BD">
        <w:rPr>
          <w:i/>
        </w:rPr>
        <w:t>COLSaF</w:t>
      </w:r>
      <w:proofErr w:type="spellEnd"/>
      <w:r w:rsidR="00691B5A">
        <w:rPr>
          <w:i/>
        </w:rPr>
        <w:t>,</w:t>
      </w:r>
      <w:r w:rsidR="009D3A6E" w:rsidRPr="005A62BD">
        <w:rPr>
          <w:rStyle w:val="FootnoteReference"/>
          <w:i/>
        </w:rPr>
        <w:footnoteReference w:id="65"/>
      </w:r>
      <w:r w:rsidRPr="005A62BD">
        <w:rPr>
          <w:i/>
        </w:rPr>
        <w:t xml:space="preserve"> 2015</w:t>
      </w:r>
      <w:r w:rsidR="005144FC" w:rsidRPr="005A62BD">
        <w:rPr>
          <w:i/>
        </w:rPr>
        <w:t xml:space="preserve">. </w:t>
      </w:r>
    </w:p>
    <w:p w14:paraId="1B29D38A" w14:textId="77777777" w:rsidR="00691B5A" w:rsidRPr="005A62BD" w:rsidRDefault="00691B5A" w:rsidP="00D73FC4">
      <w:pPr>
        <w:spacing w:after="0"/>
        <w:ind w:left="-12"/>
        <w:jc w:val="both"/>
        <w:rPr>
          <w:i/>
        </w:rPr>
      </w:pPr>
    </w:p>
    <w:p w14:paraId="539E9192" w14:textId="77777777" w:rsidR="009D3A6E" w:rsidRPr="005A62BD" w:rsidRDefault="009D3A6E" w:rsidP="00D73FC4">
      <w:pPr>
        <w:spacing w:after="0"/>
        <w:ind w:left="-12"/>
        <w:jc w:val="both"/>
        <w:rPr>
          <w:i/>
        </w:rPr>
      </w:pPr>
      <w:r w:rsidRPr="005A62BD">
        <w:rPr>
          <w:i/>
        </w:rPr>
        <w:t xml:space="preserve">Note: There have been additional measures within the Youth Guarantee since 2016. For these, the data have not been available yet. </w:t>
      </w:r>
    </w:p>
    <w:p w14:paraId="05437E23" w14:textId="77777777" w:rsidR="00DB5165" w:rsidRPr="005A62BD" w:rsidRDefault="00DB5165" w:rsidP="00D73FC4">
      <w:pPr>
        <w:spacing w:after="0"/>
        <w:ind w:left="-12"/>
        <w:jc w:val="both"/>
      </w:pPr>
    </w:p>
    <w:p w14:paraId="094AAE01" w14:textId="58F8EFA6" w:rsidR="005144FC" w:rsidRPr="005A62BD" w:rsidRDefault="000A6C56" w:rsidP="00D73FC4">
      <w:pPr>
        <w:spacing w:after="0"/>
        <w:jc w:val="both"/>
      </w:pPr>
      <w:r w:rsidRPr="005A62BD">
        <w:t>A</w:t>
      </w:r>
      <w:r w:rsidR="00BE532D" w:rsidRPr="005A62BD">
        <w:t xml:space="preserve">part from that, a </w:t>
      </w:r>
      <w:r w:rsidR="005144FC" w:rsidRPr="005A62BD">
        <w:t xml:space="preserve">call for proposals </w:t>
      </w:r>
      <w:r w:rsidR="00851764" w:rsidRPr="005A62BD">
        <w:t xml:space="preserve">was </w:t>
      </w:r>
      <w:r w:rsidR="005144FC" w:rsidRPr="005A62BD">
        <w:t>launched to specifically support transition of young people with disabilities from school to work with the total budget of EUR 15 million.</w:t>
      </w:r>
      <w:r w:rsidR="005144FC" w:rsidRPr="005A62BD">
        <w:rPr>
          <w:rStyle w:val="FootnoteReference"/>
        </w:rPr>
        <w:footnoteReference w:id="66"/>
      </w:r>
      <w:r w:rsidR="005144FC" w:rsidRPr="005A62BD">
        <w:t xml:space="preserve"> This specific measure might have positive impact on increased participation of young PWD in the Youth Guarantee, and in the labour market. </w:t>
      </w:r>
    </w:p>
    <w:p w14:paraId="11021310" w14:textId="77777777" w:rsidR="00DB5165" w:rsidRPr="005A62BD" w:rsidRDefault="00DB5165" w:rsidP="00D73FC4">
      <w:pPr>
        <w:spacing w:after="0"/>
        <w:jc w:val="both"/>
      </w:pPr>
    </w:p>
    <w:p w14:paraId="17A21738" w14:textId="77777777" w:rsidR="005144FC" w:rsidRPr="005A62BD" w:rsidRDefault="005144FC" w:rsidP="00D73FC4">
      <w:pPr>
        <w:spacing w:after="0"/>
        <w:jc w:val="both"/>
        <w:rPr>
          <w:i/>
        </w:rPr>
      </w:pPr>
      <w:r w:rsidRPr="005A62BD">
        <w:rPr>
          <w:i/>
        </w:rPr>
        <w:t>National project: Support of Employment of Persons with Disabilities (</w:t>
      </w:r>
      <w:proofErr w:type="spellStart"/>
      <w:r w:rsidRPr="005A62BD">
        <w:rPr>
          <w:i/>
        </w:rPr>
        <w:t>Podpora</w:t>
      </w:r>
      <w:proofErr w:type="spellEnd"/>
      <w:r w:rsidRPr="005A62BD">
        <w:rPr>
          <w:i/>
        </w:rPr>
        <w:t xml:space="preserve"> </w:t>
      </w:r>
      <w:proofErr w:type="spellStart"/>
      <w:r w:rsidRPr="005A62BD">
        <w:rPr>
          <w:i/>
        </w:rPr>
        <w:t>zamestnávania</w:t>
      </w:r>
      <w:proofErr w:type="spellEnd"/>
      <w:r w:rsidRPr="005A62BD">
        <w:rPr>
          <w:i/>
        </w:rPr>
        <w:t xml:space="preserve"> </w:t>
      </w:r>
      <w:proofErr w:type="spellStart"/>
      <w:r w:rsidRPr="005A62BD">
        <w:rPr>
          <w:i/>
        </w:rPr>
        <w:t>občanov</w:t>
      </w:r>
      <w:proofErr w:type="spellEnd"/>
      <w:r w:rsidRPr="005A62BD">
        <w:rPr>
          <w:i/>
        </w:rPr>
        <w:t xml:space="preserve"> so </w:t>
      </w:r>
      <w:proofErr w:type="spellStart"/>
      <w:r w:rsidRPr="005A62BD">
        <w:rPr>
          <w:i/>
        </w:rPr>
        <w:t>zdravotným</w:t>
      </w:r>
      <w:proofErr w:type="spellEnd"/>
      <w:r w:rsidRPr="005A62BD">
        <w:rPr>
          <w:i/>
        </w:rPr>
        <w:t xml:space="preserve"> </w:t>
      </w:r>
      <w:proofErr w:type="spellStart"/>
      <w:r w:rsidRPr="005A62BD">
        <w:rPr>
          <w:i/>
        </w:rPr>
        <w:t>postihnutím</w:t>
      </w:r>
      <w:proofErr w:type="spellEnd"/>
      <w:r w:rsidRPr="005A62BD">
        <w:rPr>
          <w:i/>
        </w:rPr>
        <w:t>)</w:t>
      </w:r>
      <w:r w:rsidR="00DB5165" w:rsidRPr="005A62BD">
        <w:rPr>
          <w:i/>
        </w:rPr>
        <w:t>.</w:t>
      </w:r>
      <w:r w:rsidRPr="005A62BD">
        <w:rPr>
          <w:rStyle w:val="FootnoteReference"/>
          <w:i/>
        </w:rPr>
        <w:footnoteReference w:id="67"/>
      </w:r>
    </w:p>
    <w:p w14:paraId="406180FB" w14:textId="77777777" w:rsidR="00DB5165" w:rsidRPr="005A62BD" w:rsidRDefault="00DB5165" w:rsidP="00D73FC4">
      <w:pPr>
        <w:spacing w:after="0"/>
        <w:jc w:val="both"/>
        <w:rPr>
          <w:i/>
        </w:rPr>
      </w:pPr>
    </w:p>
    <w:p w14:paraId="779DFB84" w14:textId="55E47939" w:rsidR="005144FC" w:rsidRPr="005A62BD" w:rsidRDefault="005144FC" w:rsidP="00D73FC4">
      <w:pPr>
        <w:spacing w:after="0"/>
        <w:jc w:val="both"/>
      </w:pPr>
      <w:r w:rsidRPr="005A62BD">
        <w:t xml:space="preserve">The national project is running in period 01.01.2015 – </w:t>
      </w:r>
      <w:proofErr w:type="gramStart"/>
      <w:r w:rsidRPr="005A62BD">
        <w:t>3</w:t>
      </w:r>
      <w:r w:rsidR="00BE7D0B" w:rsidRPr="005A62BD">
        <w:t>1</w:t>
      </w:r>
      <w:r w:rsidRPr="005A62BD">
        <w:t>.</w:t>
      </w:r>
      <w:r w:rsidR="00BE7D0B" w:rsidRPr="005A62BD">
        <w:t>12</w:t>
      </w:r>
      <w:r w:rsidRPr="005A62BD">
        <w:t>.201</w:t>
      </w:r>
      <w:r w:rsidR="00BE7D0B" w:rsidRPr="005A62BD">
        <w:t>9</w:t>
      </w:r>
      <w:r w:rsidRPr="005A62BD">
        <w:t>, and</w:t>
      </w:r>
      <w:proofErr w:type="gramEnd"/>
      <w:r w:rsidRPr="005A62BD">
        <w:t xml:space="preserve"> is operated by the Central Office of the Labour, Social Affairs and Family. It covers all Slovak regions except of the Bratislava region. The total budget allocated is 50 mil €. The project is a continuation of similar national projects such as Support of maintenance of persons with disabilities at work</w:t>
      </w:r>
      <w:r w:rsidRPr="005A62BD">
        <w:rPr>
          <w:rStyle w:val="FootnoteReference"/>
        </w:rPr>
        <w:footnoteReference w:id="68"/>
      </w:r>
      <w:r w:rsidRPr="005A62BD">
        <w:t xml:space="preserve"> (</w:t>
      </w:r>
      <w:proofErr w:type="spellStart"/>
      <w:r w:rsidRPr="005A62BD">
        <w:t>Podpora</w:t>
      </w:r>
      <w:proofErr w:type="spellEnd"/>
      <w:r w:rsidRPr="005A62BD">
        <w:t xml:space="preserve"> </w:t>
      </w:r>
      <w:proofErr w:type="spellStart"/>
      <w:r w:rsidRPr="005A62BD">
        <w:t>udržania</w:t>
      </w:r>
      <w:proofErr w:type="spellEnd"/>
      <w:r w:rsidRPr="005A62BD">
        <w:t xml:space="preserve"> </w:t>
      </w:r>
      <w:proofErr w:type="spellStart"/>
      <w:r w:rsidRPr="005A62BD">
        <w:t>pracovných</w:t>
      </w:r>
      <w:proofErr w:type="spellEnd"/>
      <w:r w:rsidRPr="005A62BD">
        <w:t xml:space="preserve"> </w:t>
      </w:r>
      <w:proofErr w:type="spellStart"/>
      <w:r w:rsidRPr="005A62BD">
        <w:t>miest</w:t>
      </w:r>
      <w:proofErr w:type="spellEnd"/>
      <w:r w:rsidRPr="005A62BD">
        <w:t xml:space="preserve"> </w:t>
      </w:r>
      <w:proofErr w:type="spellStart"/>
      <w:r w:rsidRPr="005A62BD">
        <w:t>občanov</w:t>
      </w:r>
      <w:proofErr w:type="spellEnd"/>
      <w:r w:rsidRPr="005A62BD">
        <w:t xml:space="preserve"> so </w:t>
      </w:r>
      <w:proofErr w:type="spellStart"/>
      <w:r w:rsidRPr="005A62BD">
        <w:t>zdravotným</w:t>
      </w:r>
      <w:proofErr w:type="spellEnd"/>
      <w:r w:rsidRPr="005A62BD">
        <w:t xml:space="preserve"> </w:t>
      </w:r>
      <w:proofErr w:type="spellStart"/>
      <w:r w:rsidRPr="005A62BD">
        <w:t>postihnutím</w:t>
      </w:r>
      <w:proofErr w:type="spellEnd"/>
      <w:r w:rsidRPr="005A62BD">
        <w:t>). This project is specifically focussed on people with disabilities and is designed to cover expenses of active labour market measures for persons with disabilities in accordance with the act on employment services.</w:t>
      </w:r>
      <w:r w:rsidR="0025258A" w:rsidRPr="005A62BD">
        <w:t xml:space="preserve"> Participation of PWD in these measures as well as funding was shown in the tables in part 4.1. </w:t>
      </w:r>
    </w:p>
    <w:p w14:paraId="02C6EB19" w14:textId="77777777" w:rsidR="0066068D" w:rsidRPr="005A62BD" w:rsidRDefault="0066068D" w:rsidP="00D73FC4">
      <w:pPr>
        <w:spacing w:after="0"/>
        <w:jc w:val="both"/>
      </w:pPr>
    </w:p>
    <w:p w14:paraId="2435C02D" w14:textId="77777777" w:rsidR="005144FC" w:rsidRPr="005A62BD" w:rsidRDefault="005144FC" w:rsidP="00D73FC4">
      <w:pPr>
        <w:pStyle w:val="ListParagraph"/>
        <w:numPr>
          <w:ilvl w:val="0"/>
          <w:numId w:val="16"/>
        </w:numPr>
        <w:tabs>
          <w:tab w:val="left" w:pos="567"/>
        </w:tabs>
        <w:spacing w:after="0"/>
        <w:ind w:left="567" w:hanging="567"/>
        <w:contextualSpacing w:val="0"/>
        <w:jc w:val="both"/>
        <w:rPr>
          <w:b/>
        </w:rPr>
      </w:pPr>
      <w:r w:rsidRPr="005A62BD">
        <w:rPr>
          <w:b/>
        </w:rPr>
        <w:t>Examples in education area</w:t>
      </w:r>
    </w:p>
    <w:p w14:paraId="3D1A4AA1" w14:textId="77777777" w:rsidR="0066068D" w:rsidRPr="005A62BD" w:rsidRDefault="0066068D" w:rsidP="00D73FC4">
      <w:pPr>
        <w:spacing w:after="0"/>
        <w:jc w:val="both"/>
      </w:pPr>
    </w:p>
    <w:p w14:paraId="25407ACD" w14:textId="273C92DA" w:rsidR="00D76437" w:rsidRPr="005A62BD" w:rsidRDefault="00D76437" w:rsidP="00D73FC4">
      <w:pPr>
        <w:spacing w:after="0"/>
        <w:jc w:val="both"/>
        <w:rPr>
          <w:i/>
        </w:rPr>
      </w:pPr>
      <w:r w:rsidRPr="005A62BD">
        <w:rPr>
          <w:i/>
        </w:rPr>
        <w:t>National Project: School open for all</w:t>
      </w:r>
      <w:r w:rsidR="00D77F90" w:rsidRPr="005A62BD">
        <w:rPr>
          <w:rStyle w:val="FootnoteReference"/>
          <w:i/>
        </w:rPr>
        <w:footnoteReference w:id="69"/>
      </w:r>
    </w:p>
    <w:p w14:paraId="3481ED7F" w14:textId="77777777" w:rsidR="00D76437" w:rsidRPr="005A62BD" w:rsidRDefault="00D76437" w:rsidP="00D73FC4">
      <w:pPr>
        <w:spacing w:after="0"/>
        <w:jc w:val="both"/>
      </w:pPr>
    </w:p>
    <w:p w14:paraId="55E58F5B" w14:textId="3014DAC4" w:rsidR="00DF361E" w:rsidRDefault="00D76437" w:rsidP="00D73FC4">
      <w:pPr>
        <w:spacing w:after="0"/>
        <w:jc w:val="both"/>
      </w:pPr>
      <w:r w:rsidRPr="005A62BD">
        <w:t>The call for this project was released on October 5, 2016</w:t>
      </w:r>
      <w:r w:rsidR="00D77F90" w:rsidRPr="005A62BD">
        <w:t xml:space="preserve"> by</w:t>
      </w:r>
      <w:r w:rsidRPr="005A62BD">
        <w:t xml:space="preserve"> the Ministry of </w:t>
      </w:r>
      <w:proofErr w:type="spellStart"/>
      <w:proofErr w:type="gramStart"/>
      <w:r w:rsidRPr="005A62BD">
        <w:t>E</w:t>
      </w:r>
      <w:r w:rsidR="00615920" w:rsidRPr="005A62BD">
        <w:t>d</w:t>
      </w:r>
      <w:r w:rsidRPr="005A62BD">
        <w:t>ucation,Science</w:t>
      </w:r>
      <w:proofErr w:type="spellEnd"/>
      <w:proofErr w:type="gramEnd"/>
      <w:r w:rsidRPr="005A62BD">
        <w:t>, Research and Sport within the Op</w:t>
      </w:r>
      <w:r w:rsidR="00D77F90" w:rsidRPr="005A62BD">
        <w:t>e</w:t>
      </w:r>
      <w:r w:rsidRPr="005A62BD">
        <w:t xml:space="preserve">rational Programme “Human Resources”, the priority axis “Education”. The project will be </w:t>
      </w:r>
      <w:r w:rsidR="00615920" w:rsidRPr="005A62BD">
        <w:t xml:space="preserve">operated </w:t>
      </w:r>
      <w:r w:rsidRPr="005A62BD">
        <w:t xml:space="preserve">by The Methodology and Pedagogy Centre. The specific goal is to “increase </w:t>
      </w:r>
      <w:r w:rsidR="00D77F90" w:rsidRPr="005A62BD">
        <w:t xml:space="preserve">inclusion and equal access to quality education and improve children and pupils’ outcomes and competencies”. </w:t>
      </w:r>
      <w:r w:rsidR="00DF361E" w:rsidRPr="005A62BD">
        <w:t xml:space="preserve">The target groups include: children and pupils of primary schools, including those with special education needs; teachers; specialists at schools and parents. </w:t>
      </w:r>
    </w:p>
    <w:p w14:paraId="2B19541E" w14:textId="77777777" w:rsidR="00204C4E" w:rsidRPr="005A62BD" w:rsidRDefault="00204C4E" w:rsidP="00D73FC4">
      <w:pPr>
        <w:spacing w:after="0"/>
        <w:jc w:val="both"/>
      </w:pPr>
    </w:p>
    <w:p w14:paraId="7F851688" w14:textId="13CAC6C0" w:rsidR="00DF361E" w:rsidRDefault="00DF361E" w:rsidP="00D73FC4">
      <w:pPr>
        <w:spacing w:after="0"/>
        <w:jc w:val="both"/>
        <w:rPr>
          <w:i/>
        </w:rPr>
      </w:pPr>
      <w:r w:rsidRPr="005A62BD">
        <w:rPr>
          <w:i/>
        </w:rPr>
        <w:lastRenderedPageBreak/>
        <w:t>“</w:t>
      </w:r>
      <w:proofErr w:type="spellStart"/>
      <w:r w:rsidRPr="005A62BD">
        <w:rPr>
          <w:i/>
        </w:rPr>
        <w:t>Dopytovo</w:t>
      </w:r>
      <w:proofErr w:type="spellEnd"/>
      <w:r w:rsidRPr="005A62BD">
        <w:rPr>
          <w:i/>
        </w:rPr>
        <w:t xml:space="preserve"> – </w:t>
      </w:r>
      <w:proofErr w:type="spellStart"/>
      <w:r w:rsidRPr="005A62BD">
        <w:rPr>
          <w:i/>
        </w:rPr>
        <w:t>orientovan</w:t>
      </w:r>
      <w:r w:rsidR="00A109E5" w:rsidRPr="005A62BD">
        <w:rPr>
          <w:i/>
        </w:rPr>
        <w:t>ý</w:t>
      </w:r>
      <w:proofErr w:type="spellEnd"/>
      <w:r w:rsidRPr="005A62BD">
        <w:rPr>
          <w:i/>
        </w:rPr>
        <w:t xml:space="preserve"> </w:t>
      </w:r>
      <w:proofErr w:type="spellStart"/>
      <w:r w:rsidRPr="005A62BD">
        <w:rPr>
          <w:i/>
        </w:rPr>
        <w:t>projekt</w:t>
      </w:r>
      <w:proofErr w:type="spellEnd"/>
      <w:r w:rsidRPr="005A62BD">
        <w:rPr>
          <w:i/>
        </w:rPr>
        <w:t xml:space="preserve">”: </w:t>
      </w:r>
      <w:r w:rsidR="00A109E5" w:rsidRPr="005A62BD">
        <w:rPr>
          <w:i/>
        </w:rPr>
        <w:t xml:space="preserve">V </w:t>
      </w:r>
      <w:proofErr w:type="spellStart"/>
      <w:r w:rsidR="00A109E5" w:rsidRPr="005A62BD">
        <w:rPr>
          <w:i/>
        </w:rPr>
        <w:t>základnej</w:t>
      </w:r>
      <w:proofErr w:type="spellEnd"/>
      <w:r w:rsidR="00A109E5" w:rsidRPr="005A62BD">
        <w:rPr>
          <w:i/>
        </w:rPr>
        <w:t xml:space="preserve"> </w:t>
      </w:r>
      <w:proofErr w:type="spellStart"/>
      <w:r w:rsidR="00A109E5" w:rsidRPr="005A62BD">
        <w:rPr>
          <w:i/>
        </w:rPr>
        <w:t>škole</w:t>
      </w:r>
      <w:proofErr w:type="spellEnd"/>
      <w:r w:rsidR="00A109E5" w:rsidRPr="005A62BD">
        <w:rPr>
          <w:i/>
        </w:rPr>
        <w:t xml:space="preserve"> </w:t>
      </w:r>
      <w:proofErr w:type="spellStart"/>
      <w:r w:rsidR="00A109E5" w:rsidRPr="005A62BD">
        <w:rPr>
          <w:i/>
        </w:rPr>
        <w:t>úspešnejší</w:t>
      </w:r>
      <w:proofErr w:type="spellEnd"/>
      <w:r w:rsidR="00A109E5" w:rsidRPr="005A62BD">
        <w:rPr>
          <w:i/>
        </w:rPr>
        <w:t xml:space="preserve"> [More successful at primary school]</w:t>
      </w:r>
      <w:r w:rsidR="004B46F9" w:rsidRPr="005A62BD">
        <w:rPr>
          <w:rStyle w:val="FootnoteReference"/>
          <w:i/>
        </w:rPr>
        <w:footnoteReference w:id="70"/>
      </w:r>
      <w:r w:rsidR="00691B5A">
        <w:rPr>
          <w:i/>
        </w:rPr>
        <w:t xml:space="preserve"> </w:t>
      </w:r>
    </w:p>
    <w:p w14:paraId="65377310" w14:textId="77777777" w:rsidR="00691B5A" w:rsidRPr="005A62BD" w:rsidRDefault="00691B5A" w:rsidP="00D73FC4">
      <w:pPr>
        <w:spacing w:after="0"/>
        <w:jc w:val="both"/>
        <w:rPr>
          <w:i/>
        </w:rPr>
      </w:pPr>
    </w:p>
    <w:p w14:paraId="52C49382" w14:textId="70BE28D1" w:rsidR="00691B5A" w:rsidRDefault="00A109E5" w:rsidP="00D73FC4">
      <w:pPr>
        <w:spacing w:after="0"/>
        <w:jc w:val="both"/>
      </w:pPr>
      <w:r w:rsidRPr="005A62BD">
        <w:t xml:space="preserve">The call for proposal was released on December 30, 2016 by the Ministry of </w:t>
      </w:r>
      <w:proofErr w:type="spellStart"/>
      <w:proofErr w:type="gramStart"/>
      <w:r w:rsidRPr="005A62BD">
        <w:t>E</w:t>
      </w:r>
      <w:r w:rsidR="00D24C81" w:rsidRPr="005A62BD">
        <w:t>d</w:t>
      </w:r>
      <w:r w:rsidRPr="005A62BD">
        <w:t>ucation,Science</w:t>
      </w:r>
      <w:proofErr w:type="spellEnd"/>
      <w:proofErr w:type="gramEnd"/>
      <w:r w:rsidRPr="005A62BD">
        <w:t>, Research and Sport within the Operational Programme “Human Resources”, the priority axis “Education”. The specific goal is to “increase inclusion and equal access to quality education and improve children and pupils’ outcomes and competencies”.</w:t>
      </w:r>
      <w:r w:rsidR="004B6821" w:rsidRPr="005A62BD">
        <w:t xml:space="preserve"> </w:t>
      </w:r>
      <w:r w:rsidR="00D705EF" w:rsidRPr="005A62BD">
        <w:t>Eligible institutions are</w:t>
      </w:r>
      <w:r w:rsidR="00B06D79" w:rsidRPr="005A62BD">
        <w:t xml:space="preserve"> primary school</w:t>
      </w:r>
      <w:r w:rsidR="00FD13A1" w:rsidRPr="005A62BD">
        <w:t>s</w:t>
      </w:r>
      <w:r w:rsidR="00B06D79" w:rsidRPr="005A62BD">
        <w:t xml:space="preserve"> and municipalities. Primary schools for pupils with disabilities are eligible only for the activity connected with financing </w:t>
      </w:r>
      <w:r w:rsidR="00204C4E" w:rsidRPr="005A62BD">
        <w:t>teachers’</w:t>
      </w:r>
      <w:r w:rsidR="00B06D79" w:rsidRPr="005A62BD">
        <w:t xml:space="preserve"> assistants for pupils with disabilities. </w:t>
      </w:r>
      <w:r w:rsidR="00D705EF" w:rsidRPr="005A62BD">
        <w:t>The target group include</w:t>
      </w:r>
      <w:r w:rsidR="004B6821" w:rsidRPr="005A62BD">
        <w:t xml:space="preserve"> pupils of primary schools including pupils with special educational needs.</w:t>
      </w:r>
    </w:p>
    <w:p w14:paraId="05A6C9F6" w14:textId="1DBD4E71" w:rsidR="00D705EF" w:rsidRPr="005A62BD" w:rsidRDefault="00D705EF" w:rsidP="00D73FC4">
      <w:pPr>
        <w:spacing w:after="0"/>
        <w:jc w:val="both"/>
      </w:pPr>
    </w:p>
    <w:p w14:paraId="75A2BC44" w14:textId="086CB90B" w:rsidR="005144FC" w:rsidRDefault="005144FC" w:rsidP="00D73FC4">
      <w:pPr>
        <w:spacing w:after="0"/>
        <w:jc w:val="both"/>
        <w:rPr>
          <w:b/>
        </w:rPr>
      </w:pPr>
      <w:r w:rsidRPr="005A62BD">
        <w:rPr>
          <w:b/>
        </w:rPr>
        <w:t xml:space="preserve">Examples in </w:t>
      </w:r>
      <w:r w:rsidRPr="005A62BD">
        <w:rPr>
          <w:b/>
          <w:lang w:eastAsia="en-GB"/>
        </w:rPr>
        <w:t xml:space="preserve">the </w:t>
      </w:r>
      <w:r w:rsidRPr="005A62BD">
        <w:rPr>
          <w:b/>
        </w:rPr>
        <w:t>social inclusion area</w:t>
      </w:r>
    </w:p>
    <w:p w14:paraId="4E038C73" w14:textId="77777777" w:rsidR="00691B5A" w:rsidRPr="005A62BD" w:rsidRDefault="00691B5A" w:rsidP="00D73FC4">
      <w:pPr>
        <w:spacing w:after="0"/>
        <w:jc w:val="both"/>
        <w:rPr>
          <w:b/>
        </w:rPr>
      </w:pPr>
    </w:p>
    <w:p w14:paraId="2AB7D1BC" w14:textId="77777777" w:rsidR="005144FC" w:rsidRPr="005A62BD" w:rsidRDefault="005144FC" w:rsidP="00D73FC4">
      <w:pPr>
        <w:spacing w:after="0"/>
        <w:jc w:val="both"/>
      </w:pPr>
      <w:r w:rsidRPr="005A62BD">
        <w:t xml:space="preserve">There </w:t>
      </w:r>
      <w:r w:rsidR="00375C64" w:rsidRPr="005A62BD">
        <w:t>are some project-</w:t>
      </w:r>
      <w:r w:rsidRPr="005A62BD">
        <w:t>based activities, namely:</w:t>
      </w:r>
    </w:p>
    <w:p w14:paraId="68F5E532" w14:textId="77777777" w:rsidR="0066068D" w:rsidRPr="005A62BD" w:rsidRDefault="0066068D" w:rsidP="00D73FC4">
      <w:pPr>
        <w:spacing w:after="0"/>
        <w:jc w:val="both"/>
      </w:pPr>
    </w:p>
    <w:p w14:paraId="3C66AF71" w14:textId="12CCA3ED" w:rsidR="005144FC" w:rsidRPr="005A62BD" w:rsidRDefault="005144FC" w:rsidP="00D73FC4">
      <w:pPr>
        <w:pStyle w:val="ListParagraph"/>
        <w:numPr>
          <w:ilvl w:val="0"/>
          <w:numId w:val="17"/>
        </w:numPr>
        <w:tabs>
          <w:tab w:val="left" w:pos="567"/>
        </w:tabs>
        <w:spacing w:after="0"/>
        <w:ind w:left="567" w:hanging="567"/>
        <w:contextualSpacing w:val="0"/>
        <w:jc w:val="both"/>
      </w:pPr>
      <w:r w:rsidRPr="005A62BD">
        <w:t xml:space="preserve">following the terminated national project focused on </w:t>
      </w:r>
      <w:r w:rsidRPr="005A62BD">
        <w:rPr>
          <w:i/>
        </w:rPr>
        <w:t>deinstitutionalisation of traditional residential services for care dependent persons</w:t>
      </w:r>
      <w:r w:rsidRPr="005A62BD">
        <w:t xml:space="preserve"> in the programming period 2007-2013, </w:t>
      </w:r>
      <w:r w:rsidR="00EB5DBE" w:rsidRPr="005A62BD">
        <w:t xml:space="preserve">preparation for </w:t>
      </w:r>
      <w:r w:rsidRPr="005A62BD">
        <w:t xml:space="preserve">continuation of the project for period </w:t>
      </w:r>
      <w:r w:rsidR="00375C64" w:rsidRPr="005A62BD">
        <w:t xml:space="preserve">up to 2020 is </w:t>
      </w:r>
      <w:r w:rsidR="00EB5DBE" w:rsidRPr="005A62BD">
        <w:t>finalised</w:t>
      </w:r>
      <w:r w:rsidR="00375C64" w:rsidRPr="005A62BD">
        <w:t>;</w:t>
      </w:r>
    </w:p>
    <w:p w14:paraId="4A655AB1" w14:textId="77777777" w:rsidR="005144FC" w:rsidRPr="005A62BD" w:rsidRDefault="005144FC" w:rsidP="00D73FC4">
      <w:pPr>
        <w:pStyle w:val="ListParagraph"/>
        <w:numPr>
          <w:ilvl w:val="0"/>
          <w:numId w:val="17"/>
        </w:numPr>
        <w:tabs>
          <w:tab w:val="left" w:pos="567"/>
        </w:tabs>
        <w:spacing w:after="0"/>
        <w:ind w:left="567" w:hanging="567"/>
        <w:contextualSpacing w:val="0"/>
        <w:jc w:val="both"/>
      </w:pPr>
      <w:r w:rsidRPr="005A62BD">
        <w:t xml:space="preserve">a new national project focusing on </w:t>
      </w:r>
      <w:r w:rsidRPr="005A62BD">
        <w:rPr>
          <w:i/>
        </w:rPr>
        <w:t xml:space="preserve">quality issues in social services </w:t>
      </w:r>
      <w:r w:rsidRPr="005A62BD">
        <w:t>is under preparation, too</w:t>
      </w:r>
      <w:r w:rsidR="00375C64" w:rsidRPr="005A62BD">
        <w:t>;</w:t>
      </w:r>
    </w:p>
    <w:p w14:paraId="2D550D92" w14:textId="4FB96EDF" w:rsidR="005144FC" w:rsidRPr="005A62BD" w:rsidRDefault="005144FC" w:rsidP="00D73FC4">
      <w:pPr>
        <w:pStyle w:val="ListParagraph"/>
        <w:numPr>
          <w:ilvl w:val="0"/>
          <w:numId w:val="17"/>
        </w:numPr>
        <w:tabs>
          <w:tab w:val="left" w:pos="567"/>
        </w:tabs>
        <w:spacing w:after="0"/>
        <w:ind w:left="567" w:hanging="567"/>
        <w:contextualSpacing w:val="0"/>
        <w:jc w:val="both"/>
      </w:pPr>
      <w:r w:rsidRPr="005A62BD">
        <w:t xml:space="preserve">the national project to support funding of </w:t>
      </w:r>
      <w:r w:rsidRPr="005A62BD">
        <w:rPr>
          <w:i/>
        </w:rPr>
        <w:t>home care service</w:t>
      </w:r>
      <w:r w:rsidRPr="00204C4E">
        <w:rPr>
          <w:rStyle w:val="FootnoteReference"/>
        </w:rPr>
        <w:footnoteReference w:id="71"/>
      </w:r>
      <w:r w:rsidRPr="00204C4E">
        <w:t xml:space="preserve"> </w:t>
      </w:r>
      <w:r w:rsidRPr="005A62BD">
        <w:t>has been running since early 2016</w:t>
      </w:r>
      <w:r w:rsidR="00EB5DBE" w:rsidRPr="005A62BD">
        <w:t xml:space="preserve"> with termination in June 201</w:t>
      </w:r>
      <w:r w:rsidR="003535D7" w:rsidRPr="005A62BD">
        <w:t>8</w:t>
      </w:r>
      <w:r w:rsidRPr="005A62BD">
        <w:t>.</w:t>
      </w:r>
    </w:p>
    <w:p w14:paraId="7F414893" w14:textId="77777777" w:rsidR="006B7206" w:rsidRPr="005A62BD" w:rsidRDefault="006B7206" w:rsidP="005A62BD">
      <w:pPr>
        <w:pStyle w:val="Heading1"/>
        <w:rPr>
          <w:lang w:eastAsia="en-GB"/>
        </w:rPr>
      </w:pPr>
      <w:bookmarkStart w:id="47" w:name="_Toc499120891"/>
      <w:r w:rsidRPr="005A62BD">
        <w:rPr>
          <w:lang w:eastAsia="en-GB"/>
        </w:rPr>
        <w:lastRenderedPageBreak/>
        <w:t>Recommendations</w:t>
      </w:r>
      <w:bookmarkEnd w:id="47"/>
    </w:p>
    <w:p w14:paraId="068A3F0B" w14:textId="77777777" w:rsidR="00665919" w:rsidRPr="005A62BD" w:rsidRDefault="00665919" w:rsidP="00D73FC4">
      <w:pPr>
        <w:spacing w:after="0"/>
        <w:jc w:val="both"/>
        <w:rPr>
          <w:lang w:eastAsia="en-GB"/>
        </w:rPr>
      </w:pPr>
    </w:p>
    <w:p w14:paraId="00A1446B" w14:textId="17BD1215" w:rsidR="00EA4E6B" w:rsidRPr="005A62BD" w:rsidRDefault="00EA4E6B" w:rsidP="00D73FC4">
      <w:pPr>
        <w:spacing w:after="0"/>
        <w:jc w:val="both"/>
        <w:rPr>
          <w:lang w:eastAsia="en-GB"/>
        </w:rPr>
      </w:pPr>
      <w:r w:rsidRPr="005A62BD">
        <w:rPr>
          <w:lang w:eastAsia="en-GB"/>
        </w:rPr>
        <w:t>As has been stated in previous sections, the basic strategic documents influencing disability developments in Slovakia (</w:t>
      </w:r>
      <w:r w:rsidR="00961B2F" w:rsidRPr="005A62BD">
        <w:rPr>
          <w:lang w:eastAsia="en-GB"/>
        </w:rPr>
        <w:t>the Manifesto of the Government of Slovak Republic</w:t>
      </w:r>
      <w:r w:rsidRPr="005A62BD">
        <w:rPr>
          <w:lang w:eastAsia="en-GB"/>
        </w:rPr>
        <w:t xml:space="preserve">, The National Reform Program, even so the CSR and the SWD), do not directly refer to disability related issues. Instead, other target groups have become political priorities for the upcoming year (primarily the unemployed youth, the long-term unemployed, the low-skilled and the Roma). On the other hand, in Slovakia, there are already some strategic documents in force, which address explicitly disability issues, mainly the </w:t>
      </w:r>
      <w:r w:rsidRPr="005A62BD">
        <w:rPr>
          <w:i/>
          <w:lang w:eastAsia="en-GB"/>
        </w:rPr>
        <w:t>National Disability Program</w:t>
      </w:r>
      <w:r w:rsidR="004428C4" w:rsidRPr="005A62BD">
        <w:rPr>
          <w:i/>
          <w:lang w:eastAsia="en-GB"/>
        </w:rPr>
        <w:t xml:space="preserve">. </w:t>
      </w:r>
      <w:r w:rsidRPr="005A62BD">
        <w:rPr>
          <w:lang w:eastAsia="en-GB"/>
        </w:rPr>
        <w:t xml:space="preserve">The </w:t>
      </w:r>
      <w:r w:rsidR="00B170A0" w:rsidRPr="005A62BD">
        <w:rPr>
          <w:lang w:eastAsia="en-GB"/>
        </w:rPr>
        <w:t>P</w:t>
      </w:r>
      <w:r w:rsidRPr="005A62BD">
        <w:rPr>
          <w:lang w:eastAsia="en-GB"/>
        </w:rPr>
        <w:t>rogram</w:t>
      </w:r>
      <w:r w:rsidRPr="005A62BD">
        <w:rPr>
          <w:i/>
          <w:lang w:eastAsia="en-GB"/>
        </w:rPr>
        <w:t xml:space="preserve"> </w:t>
      </w:r>
      <w:r w:rsidRPr="005A62BD">
        <w:rPr>
          <w:lang w:eastAsia="en-GB"/>
        </w:rPr>
        <w:t>identifies the main priorities for disability policies up to 2020, detailed commitments for different public authorities and other stakeholders and proposes mechanism to monitor and evaluate progres</w:t>
      </w:r>
      <w:r w:rsidR="00665919" w:rsidRPr="005A62BD">
        <w:rPr>
          <w:lang w:eastAsia="en-GB"/>
        </w:rPr>
        <w:t>s in meeting these commitments.</w:t>
      </w:r>
      <w:r w:rsidR="004428C4" w:rsidRPr="005A62BD">
        <w:rPr>
          <w:lang w:eastAsia="en-GB"/>
        </w:rPr>
        <w:t xml:space="preserve"> </w:t>
      </w:r>
    </w:p>
    <w:p w14:paraId="45CA71EC" w14:textId="77777777" w:rsidR="00665919" w:rsidRPr="005A62BD" w:rsidRDefault="00665919" w:rsidP="00D73FC4">
      <w:pPr>
        <w:spacing w:after="0"/>
        <w:jc w:val="both"/>
        <w:rPr>
          <w:lang w:eastAsia="en-GB"/>
        </w:rPr>
      </w:pPr>
    </w:p>
    <w:p w14:paraId="0281354B" w14:textId="62E27F49" w:rsidR="001847EC" w:rsidRPr="005A62BD" w:rsidRDefault="00636451" w:rsidP="00D73FC4">
      <w:pPr>
        <w:pStyle w:val="CommentText"/>
        <w:spacing w:after="0"/>
        <w:jc w:val="both"/>
        <w:rPr>
          <w:sz w:val="24"/>
          <w:szCs w:val="24"/>
          <w:lang w:eastAsia="en-GB"/>
        </w:rPr>
      </w:pPr>
      <w:proofErr w:type="gramStart"/>
      <w:r w:rsidRPr="005A62BD">
        <w:rPr>
          <w:sz w:val="24"/>
          <w:szCs w:val="24"/>
          <w:lang w:eastAsia="en-GB"/>
        </w:rPr>
        <w:t>Tak</w:t>
      </w:r>
      <w:r w:rsidR="003C0D48" w:rsidRPr="005A62BD">
        <w:rPr>
          <w:sz w:val="24"/>
          <w:szCs w:val="24"/>
          <w:lang w:eastAsia="en-GB"/>
        </w:rPr>
        <w:t>ing</w:t>
      </w:r>
      <w:r w:rsidRPr="005A62BD">
        <w:rPr>
          <w:sz w:val="24"/>
          <w:szCs w:val="24"/>
          <w:lang w:eastAsia="en-GB"/>
        </w:rPr>
        <w:t xml:space="preserve"> into account</w:t>
      </w:r>
      <w:proofErr w:type="gramEnd"/>
      <w:r w:rsidRPr="005A62BD">
        <w:rPr>
          <w:sz w:val="24"/>
          <w:szCs w:val="24"/>
          <w:lang w:eastAsia="en-GB"/>
        </w:rPr>
        <w:t xml:space="preserve"> </w:t>
      </w:r>
      <w:r w:rsidR="00F22AEF">
        <w:rPr>
          <w:sz w:val="24"/>
          <w:szCs w:val="24"/>
          <w:lang w:eastAsia="en-GB"/>
        </w:rPr>
        <w:t xml:space="preserve">above mentioned </w:t>
      </w:r>
      <w:r w:rsidRPr="005A62BD">
        <w:rPr>
          <w:sz w:val="24"/>
          <w:szCs w:val="24"/>
          <w:lang w:eastAsia="en-GB"/>
        </w:rPr>
        <w:t xml:space="preserve">national documents </w:t>
      </w:r>
      <w:r w:rsidR="003C0D48" w:rsidRPr="005A62BD">
        <w:rPr>
          <w:sz w:val="24"/>
          <w:szCs w:val="24"/>
          <w:lang w:eastAsia="en-GB"/>
        </w:rPr>
        <w:t xml:space="preserve">which frame </w:t>
      </w:r>
      <w:r w:rsidRPr="005A62BD">
        <w:rPr>
          <w:sz w:val="24"/>
          <w:szCs w:val="24"/>
          <w:lang w:eastAsia="en-GB"/>
        </w:rPr>
        <w:t>publ</w:t>
      </w:r>
      <w:r w:rsidR="00EC327F" w:rsidRPr="005A62BD">
        <w:rPr>
          <w:sz w:val="24"/>
          <w:szCs w:val="24"/>
          <w:lang w:eastAsia="en-GB"/>
        </w:rPr>
        <w:t xml:space="preserve">ic policy in Slovakia, </w:t>
      </w:r>
      <w:r w:rsidR="005D07A7">
        <w:rPr>
          <w:sz w:val="24"/>
          <w:szCs w:val="24"/>
          <w:lang w:eastAsia="en-GB"/>
        </w:rPr>
        <w:t xml:space="preserve">we recommend: </w:t>
      </w:r>
    </w:p>
    <w:p w14:paraId="10B4E162" w14:textId="77777777" w:rsidR="0066068D" w:rsidRPr="005A62BD" w:rsidRDefault="0066068D" w:rsidP="00D73FC4">
      <w:pPr>
        <w:spacing w:after="0"/>
        <w:jc w:val="both"/>
        <w:rPr>
          <w:lang w:eastAsia="en-GB"/>
        </w:rPr>
      </w:pPr>
    </w:p>
    <w:p w14:paraId="0185547F" w14:textId="4A30BD0E" w:rsidR="005D07A7" w:rsidRDefault="003D3816" w:rsidP="00D73FC4">
      <w:pPr>
        <w:spacing w:after="0"/>
        <w:jc w:val="both"/>
      </w:pPr>
      <w:proofErr w:type="gramStart"/>
      <w:r w:rsidRPr="005A62BD">
        <w:t xml:space="preserve">In the </w:t>
      </w:r>
      <w:r w:rsidRPr="005A62BD">
        <w:rPr>
          <w:i/>
        </w:rPr>
        <w:t>area of</w:t>
      </w:r>
      <w:proofErr w:type="gramEnd"/>
      <w:r w:rsidRPr="005A62BD">
        <w:t xml:space="preserve"> </w:t>
      </w:r>
      <w:r w:rsidRPr="005A62BD">
        <w:rPr>
          <w:i/>
        </w:rPr>
        <w:t>employment</w:t>
      </w:r>
      <w:r w:rsidR="005D07A7">
        <w:rPr>
          <w:i/>
        </w:rPr>
        <w:t>:</w:t>
      </w:r>
      <w:r w:rsidRPr="005A62BD">
        <w:t xml:space="preserve"> </w:t>
      </w:r>
    </w:p>
    <w:p w14:paraId="4AD1A7EA" w14:textId="77777777" w:rsidR="00204C4E" w:rsidRDefault="00204C4E" w:rsidP="00D73FC4">
      <w:pPr>
        <w:spacing w:after="0"/>
        <w:jc w:val="both"/>
      </w:pPr>
    </w:p>
    <w:p w14:paraId="6FA1F837" w14:textId="77777777" w:rsidR="00BF583F" w:rsidRDefault="00BF583F" w:rsidP="00204C4E">
      <w:pPr>
        <w:pStyle w:val="ListParagraph"/>
        <w:numPr>
          <w:ilvl w:val="0"/>
          <w:numId w:val="41"/>
        </w:numPr>
        <w:spacing w:after="0"/>
        <w:ind w:left="567" w:hanging="567"/>
        <w:jc w:val="both"/>
        <w:rPr>
          <w:lang w:eastAsia="en-GB"/>
        </w:rPr>
      </w:pPr>
      <w:r>
        <w:rPr>
          <w:lang w:eastAsia="en-GB"/>
        </w:rPr>
        <w:t xml:space="preserve">To address high rate of economic inactivity among PWD, and especially those living in institutions, by including these groups in the priority target groups of employment policies, as well as EU funded measures to support participation of the long-term unemployed in the labour market. </w:t>
      </w:r>
    </w:p>
    <w:p w14:paraId="5923D330" w14:textId="77777777" w:rsidR="00BF583F" w:rsidRDefault="00BF583F" w:rsidP="00204C4E">
      <w:pPr>
        <w:pStyle w:val="ListParagraph"/>
        <w:numPr>
          <w:ilvl w:val="0"/>
          <w:numId w:val="41"/>
        </w:numPr>
        <w:spacing w:after="0"/>
        <w:ind w:left="567" w:hanging="567"/>
        <w:jc w:val="both"/>
        <w:rPr>
          <w:lang w:eastAsia="en-GB"/>
        </w:rPr>
      </w:pPr>
      <w:r>
        <w:rPr>
          <w:lang w:eastAsia="en-GB"/>
        </w:rPr>
        <w:t>To ensure that these measures are also open for people who are outside the labour market for long, irrespective of the duration of their status as registered job-seekers (for more details, see section 3.1)</w:t>
      </w:r>
    </w:p>
    <w:p w14:paraId="49956C32" w14:textId="77777777" w:rsidR="00BF583F" w:rsidRDefault="00BF583F" w:rsidP="00204C4E">
      <w:pPr>
        <w:pStyle w:val="ListParagraph"/>
        <w:numPr>
          <w:ilvl w:val="0"/>
          <w:numId w:val="41"/>
        </w:numPr>
        <w:spacing w:after="0"/>
        <w:ind w:left="567" w:hanging="567"/>
        <w:jc w:val="both"/>
        <w:rPr>
          <w:lang w:eastAsia="en-GB"/>
        </w:rPr>
      </w:pPr>
      <w:r>
        <w:rPr>
          <w:lang w:eastAsia="en-GB"/>
        </w:rPr>
        <w:t xml:space="preserve">To introduce additional measures to promote individualised counselling, job coaching, supported employment for PWD (for more details, see section 4.1, Ad B) </w:t>
      </w:r>
    </w:p>
    <w:p w14:paraId="2174DD34" w14:textId="77777777" w:rsidR="00BF583F" w:rsidRDefault="00BF583F" w:rsidP="00204C4E">
      <w:pPr>
        <w:pStyle w:val="ListParagraph"/>
        <w:numPr>
          <w:ilvl w:val="0"/>
          <w:numId w:val="41"/>
        </w:numPr>
        <w:spacing w:after="0"/>
        <w:ind w:left="567" w:hanging="567"/>
        <w:jc w:val="both"/>
        <w:rPr>
          <w:lang w:eastAsia="en-GB"/>
        </w:rPr>
      </w:pPr>
      <w:r>
        <w:rPr>
          <w:lang w:eastAsia="en-GB"/>
        </w:rPr>
        <w:t>To increase investments in the support of workplace adaptations and setting up workplaces for PWD (for more details see section 4.1, Ad C)</w:t>
      </w:r>
    </w:p>
    <w:p w14:paraId="6AE915CB" w14:textId="77777777" w:rsidR="00BF583F" w:rsidRDefault="00BF583F" w:rsidP="00204C4E">
      <w:pPr>
        <w:pStyle w:val="ListParagraph"/>
        <w:numPr>
          <w:ilvl w:val="0"/>
          <w:numId w:val="41"/>
        </w:numPr>
        <w:spacing w:after="0"/>
        <w:ind w:left="567" w:hanging="567"/>
        <w:jc w:val="both"/>
        <w:rPr>
          <w:lang w:eastAsia="en-GB"/>
        </w:rPr>
      </w:pPr>
      <w:r>
        <w:rPr>
          <w:lang w:eastAsia="en-GB"/>
        </w:rPr>
        <w:t xml:space="preserve">To promote systemic / targeted approach in ensuring better access of PWD to the open labour market by adoption and implementation of the Action Plan on the Transition of PWD from Sheltered workshops into the Open Labour Market and its measures, in line with the recommendation of the UN Committee on the Rights of Persons with Disabilities (see section 4.1, ad A) </w:t>
      </w:r>
    </w:p>
    <w:p w14:paraId="375B2176" w14:textId="7F4F2806" w:rsidR="00204C4E" w:rsidRDefault="00BF583F" w:rsidP="00204C4E">
      <w:pPr>
        <w:pStyle w:val="ListParagraph"/>
        <w:numPr>
          <w:ilvl w:val="0"/>
          <w:numId w:val="41"/>
        </w:numPr>
        <w:spacing w:after="0"/>
        <w:ind w:left="567" w:hanging="567"/>
        <w:jc w:val="both"/>
        <w:rPr>
          <w:lang w:eastAsia="en-GB"/>
        </w:rPr>
      </w:pPr>
      <w:r>
        <w:rPr>
          <w:lang w:eastAsia="en-GB"/>
        </w:rPr>
        <w:t xml:space="preserve">To assess the efficiency and effectiveness of disability specific ALMPs as a starting point for potential adjustments </w:t>
      </w:r>
      <w:proofErr w:type="gramStart"/>
      <w:r>
        <w:rPr>
          <w:lang w:eastAsia="en-GB"/>
        </w:rPr>
        <w:t>in order to</w:t>
      </w:r>
      <w:proofErr w:type="gramEnd"/>
      <w:r>
        <w:rPr>
          <w:lang w:eastAsia="en-GB"/>
        </w:rPr>
        <w:t xml:space="preserve"> increase labour market participation of PWD (for more details, see section 4.1, Ad D).</w:t>
      </w:r>
    </w:p>
    <w:p w14:paraId="1ABF7222" w14:textId="77777777" w:rsidR="00204C4E" w:rsidRPr="005A62BD" w:rsidRDefault="00204C4E" w:rsidP="00204C4E">
      <w:pPr>
        <w:pStyle w:val="ListParagraph"/>
        <w:spacing w:after="0"/>
        <w:ind w:left="360"/>
        <w:jc w:val="both"/>
        <w:rPr>
          <w:lang w:eastAsia="en-GB"/>
        </w:rPr>
      </w:pPr>
    </w:p>
    <w:p w14:paraId="46A749D3" w14:textId="1A6A3088" w:rsidR="004A2356" w:rsidRDefault="003D3816" w:rsidP="00D73FC4">
      <w:pPr>
        <w:spacing w:after="0"/>
        <w:jc w:val="both"/>
      </w:pPr>
      <w:proofErr w:type="gramStart"/>
      <w:r w:rsidRPr="005A62BD">
        <w:t xml:space="preserve">In the </w:t>
      </w:r>
      <w:r w:rsidRPr="005A62BD">
        <w:rPr>
          <w:i/>
        </w:rPr>
        <w:t>area of</w:t>
      </w:r>
      <w:proofErr w:type="gramEnd"/>
      <w:r w:rsidRPr="005A62BD">
        <w:rPr>
          <w:i/>
        </w:rPr>
        <w:t xml:space="preserve"> education</w:t>
      </w:r>
      <w:r w:rsidR="004A2356">
        <w:t>:</w:t>
      </w:r>
      <w:r w:rsidRPr="005A62BD">
        <w:t xml:space="preserve"> </w:t>
      </w:r>
    </w:p>
    <w:p w14:paraId="6B600E6A" w14:textId="7C4D3A8F" w:rsidR="00CB6263" w:rsidRPr="005A62BD" w:rsidRDefault="00CB6263" w:rsidP="00D73FC4">
      <w:pPr>
        <w:spacing w:after="0"/>
        <w:jc w:val="both"/>
      </w:pPr>
    </w:p>
    <w:p w14:paraId="013081E6" w14:textId="74E752EF" w:rsidR="00CB6263" w:rsidRPr="005A62BD" w:rsidRDefault="000B09B1" w:rsidP="00D73FC4">
      <w:pPr>
        <w:pStyle w:val="ListParagraph"/>
        <w:numPr>
          <w:ilvl w:val="0"/>
          <w:numId w:val="25"/>
        </w:numPr>
        <w:spacing w:after="0"/>
        <w:ind w:left="567" w:hanging="567"/>
        <w:jc w:val="both"/>
      </w:pPr>
      <w:r>
        <w:t xml:space="preserve">To </w:t>
      </w:r>
      <w:r w:rsidR="00B57129">
        <w:t>i</w:t>
      </w:r>
      <w:r w:rsidR="00066404">
        <w:t xml:space="preserve">mprove data collection with regards to </w:t>
      </w:r>
      <w:r w:rsidR="00897764" w:rsidRPr="005A62BD">
        <w:t>mainstream pre-school education</w:t>
      </w:r>
      <w:r w:rsidR="0079392C">
        <w:t>,</w:t>
      </w:r>
      <w:r w:rsidR="00897764" w:rsidRPr="005A62BD">
        <w:t xml:space="preserve"> e.g. the number of applications of children with </w:t>
      </w:r>
      <w:r w:rsidR="00A9642C" w:rsidRPr="005A62BD">
        <w:t>disabilities</w:t>
      </w:r>
      <w:r w:rsidR="00897764" w:rsidRPr="005A62BD">
        <w:t xml:space="preserve"> in total</w:t>
      </w:r>
      <w:r w:rsidR="00510168" w:rsidRPr="005A62BD">
        <w:t xml:space="preserve"> vs. the number of </w:t>
      </w:r>
      <w:r w:rsidR="0006110D" w:rsidRPr="005A62BD">
        <w:t>rejected</w:t>
      </w:r>
      <w:r w:rsidR="00510168" w:rsidRPr="005A62BD">
        <w:t xml:space="preserve"> applications,</w:t>
      </w:r>
      <w:r w:rsidR="0006110D" w:rsidRPr="005A62BD">
        <w:t xml:space="preserve"> reasons of rejection,</w:t>
      </w:r>
      <w:r w:rsidR="00510168" w:rsidRPr="005A62BD">
        <w:t xml:space="preserve"> etc.</w:t>
      </w:r>
      <w:r w:rsidR="0079392C">
        <w:t xml:space="preserve"> and the number of pupils with disabilities in the system of dual vocational education (for more details see section 4.2, Ad 2 and Ad 3</w:t>
      </w:r>
      <w:r w:rsidR="00A9642C" w:rsidRPr="005A62BD">
        <w:t xml:space="preserve">). </w:t>
      </w:r>
    </w:p>
    <w:p w14:paraId="64B346AB" w14:textId="27E99ADC" w:rsidR="00CB6263" w:rsidRPr="005A62BD" w:rsidRDefault="00066404" w:rsidP="00D73FC4">
      <w:pPr>
        <w:pStyle w:val="ListParagraph"/>
        <w:numPr>
          <w:ilvl w:val="0"/>
          <w:numId w:val="25"/>
        </w:numPr>
        <w:spacing w:after="0"/>
        <w:ind w:left="567" w:hanging="567"/>
        <w:jc w:val="both"/>
      </w:pPr>
      <w:r>
        <w:t>To s</w:t>
      </w:r>
      <w:r w:rsidR="00062405" w:rsidRPr="005A62BD">
        <w:t xml:space="preserve">trengthen </w:t>
      </w:r>
      <w:r>
        <w:t xml:space="preserve">financial support of </w:t>
      </w:r>
      <w:r w:rsidR="00062405" w:rsidRPr="005A62BD">
        <w:t>teachers’, special education teachers’ and teachers’ assistants’</w:t>
      </w:r>
      <w:r w:rsidR="003A7467" w:rsidRPr="005A62BD">
        <w:t xml:space="preserve"> and professional development support (mainly </w:t>
      </w:r>
      <w:r w:rsidR="00510168" w:rsidRPr="005A62BD">
        <w:t>related</w:t>
      </w:r>
      <w:r w:rsidR="003A7467" w:rsidRPr="005A62BD">
        <w:t xml:space="preserve"> </w:t>
      </w:r>
      <w:r w:rsidR="00510168" w:rsidRPr="005A62BD">
        <w:t xml:space="preserve">to </w:t>
      </w:r>
      <w:r w:rsidR="003A7467" w:rsidRPr="005A62BD">
        <w:lastRenderedPageBreak/>
        <w:t>the disability issues) remain</w:t>
      </w:r>
      <w:r w:rsidR="00CB6263" w:rsidRPr="005A62BD">
        <w:t>s</w:t>
      </w:r>
      <w:r w:rsidR="003A7467" w:rsidRPr="005A62BD">
        <w:t xml:space="preserve"> </w:t>
      </w:r>
      <w:r w:rsidR="00062405" w:rsidRPr="005A62BD">
        <w:t>one of the main</w:t>
      </w:r>
      <w:r w:rsidR="003A7467" w:rsidRPr="005A62BD">
        <w:t xml:space="preserve"> challenges</w:t>
      </w:r>
      <w:r w:rsidR="00CB6263" w:rsidRPr="005A62BD">
        <w:t>.</w:t>
      </w:r>
      <w:r w:rsidR="0079392C">
        <w:t xml:space="preserve"> </w:t>
      </w:r>
      <w:proofErr w:type="gramStart"/>
      <w:r w:rsidR="0079392C" w:rsidRPr="005A62BD">
        <w:t>.</w:t>
      </w:r>
      <w:r w:rsidR="0079392C">
        <w:t>(</w:t>
      </w:r>
      <w:proofErr w:type="gramEnd"/>
      <w:r w:rsidR="0079392C">
        <w:t>for more details see section 4.2, Ad 1 and Ad 2</w:t>
      </w:r>
      <w:r w:rsidR="0079392C" w:rsidRPr="005A62BD">
        <w:t>)</w:t>
      </w:r>
    </w:p>
    <w:p w14:paraId="7C4763A0" w14:textId="4D792E4A" w:rsidR="005377F8" w:rsidRPr="005A62BD" w:rsidRDefault="00045BA5" w:rsidP="00D73FC4">
      <w:pPr>
        <w:pStyle w:val="ListParagraph"/>
        <w:numPr>
          <w:ilvl w:val="0"/>
          <w:numId w:val="25"/>
        </w:numPr>
        <w:spacing w:after="0"/>
        <w:ind w:left="567" w:hanging="567"/>
        <w:jc w:val="both"/>
      </w:pPr>
      <w:r w:rsidRPr="005A62BD">
        <w:t xml:space="preserve">to </w:t>
      </w:r>
      <w:r w:rsidRPr="005A62BD">
        <w:rPr>
          <w:lang w:eastAsia="en-GB"/>
        </w:rPr>
        <w:t>includ</w:t>
      </w:r>
      <w:r w:rsidR="00066404">
        <w:rPr>
          <w:lang w:eastAsia="en-GB"/>
        </w:rPr>
        <w:t>e</w:t>
      </w:r>
      <w:r w:rsidRPr="005A62BD">
        <w:rPr>
          <w:lang w:eastAsia="en-GB"/>
        </w:rPr>
        <w:t xml:space="preserve"> pupils with disabilities in the </w:t>
      </w:r>
      <w:r w:rsidR="00705924" w:rsidRPr="005A62BD">
        <w:rPr>
          <w:lang w:eastAsia="en-GB"/>
        </w:rPr>
        <w:t>CSR in context of inclusive education, i.e. “</w:t>
      </w:r>
      <w:r w:rsidR="00705924" w:rsidRPr="005A62BD">
        <w:rPr>
          <w:i/>
        </w:rPr>
        <w:t xml:space="preserve">increase the participation of Roma, </w:t>
      </w:r>
      <w:r w:rsidR="00705924" w:rsidRPr="005A62BD">
        <w:rPr>
          <w:b/>
          <w:i/>
        </w:rPr>
        <w:t xml:space="preserve">as well as pupils with disabilities and </w:t>
      </w:r>
      <w:proofErr w:type="gramStart"/>
      <w:r w:rsidR="00705924" w:rsidRPr="005A62BD">
        <w:rPr>
          <w:b/>
          <w:i/>
        </w:rPr>
        <w:t>in particular those</w:t>
      </w:r>
      <w:proofErr w:type="gramEnd"/>
      <w:r w:rsidR="00705924" w:rsidRPr="005A62BD">
        <w:rPr>
          <w:b/>
          <w:i/>
        </w:rPr>
        <w:t xml:space="preserve"> with intellectual disabilities</w:t>
      </w:r>
      <w:r w:rsidR="00705924" w:rsidRPr="005A62BD">
        <w:rPr>
          <w:i/>
        </w:rPr>
        <w:t xml:space="preserve"> in</w:t>
      </w:r>
      <w:r w:rsidR="009E13D0">
        <w:rPr>
          <w:i/>
        </w:rPr>
        <w:t xml:space="preserve"> inclusive mainstream educatio</w:t>
      </w:r>
      <w:r w:rsidR="008C17EE">
        <w:rPr>
          <w:i/>
        </w:rPr>
        <w:t>n.</w:t>
      </w:r>
      <w:r w:rsidR="009E13D0">
        <w:rPr>
          <w:i/>
        </w:rPr>
        <w:t>’’</w:t>
      </w:r>
      <w:r w:rsidR="0079392C">
        <w:t xml:space="preserve"> (for more details see section 4.2, Ad 1</w:t>
      </w:r>
      <w:r w:rsidR="0079392C" w:rsidRPr="005A62BD">
        <w:t>)</w:t>
      </w:r>
    </w:p>
    <w:p w14:paraId="59C5EE07" w14:textId="77777777" w:rsidR="0066068D" w:rsidRPr="005A62BD" w:rsidRDefault="0066068D" w:rsidP="00D73FC4">
      <w:pPr>
        <w:spacing w:after="0"/>
        <w:jc w:val="both"/>
      </w:pPr>
    </w:p>
    <w:p w14:paraId="7F596A2D" w14:textId="229F53DA" w:rsidR="00CB6263" w:rsidRPr="005A62BD" w:rsidRDefault="008E53EE" w:rsidP="00D73FC4">
      <w:pPr>
        <w:spacing w:after="0"/>
        <w:jc w:val="both"/>
        <w:rPr>
          <w:lang w:eastAsia="en-GB"/>
        </w:rPr>
      </w:pPr>
      <w:proofErr w:type="gramStart"/>
      <w:r w:rsidRPr="005A62BD">
        <w:rPr>
          <w:lang w:eastAsia="en-GB"/>
        </w:rPr>
        <w:t xml:space="preserve">In the </w:t>
      </w:r>
      <w:r w:rsidRPr="005A62BD">
        <w:rPr>
          <w:i/>
          <w:lang w:eastAsia="en-GB"/>
        </w:rPr>
        <w:t>area of</w:t>
      </w:r>
      <w:proofErr w:type="gramEnd"/>
      <w:r w:rsidRPr="005A62BD">
        <w:rPr>
          <w:i/>
          <w:lang w:eastAsia="en-GB"/>
        </w:rPr>
        <w:t xml:space="preserve"> social inclusion</w:t>
      </w:r>
      <w:r w:rsidR="00741926">
        <w:rPr>
          <w:i/>
          <w:lang w:eastAsia="en-GB"/>
        </w:rPr>
        <w:t>:</w:t>
      </w:r>
      <w:r w:rsidRPr="005A62BD">
        <w:rPr>
          <w:lang w:eastAsia="en-GB"/>
        </w:rPr>
        <w:t xml:space="preserve"> </w:t>
      </w:r>
    </w:p>
    <w:p w14:paraId="7299D9C4" w14:textId="77777777" w:rsidR="00CB6263" w:rsidRPr="005A62BD" w:rsidRDefault="00CB6263" w:rsidP="00D73FC4">
      <w:pPr>
        <w:spacing w:after="0"/>
        <w:jc w:val="both"/>
        <w:rPr>
          <w:lang w:eastAsia="en-GB"/>
        </w:rPr>
      </w:pPr>
    </w:p>
    <w:p w14:paraId="6F970B7C" w14:textId="60693DB0" w:rsidR="00066404" w:rsidRDefault="00741926" w:rsidP="00D73FC4">
      <w:pPr>
        <w:pStyle w:val="ListParagraph"/>
        <w:numPr>
          <w:ilvl w:val="0"/>
          <w:numId w:val="25"/>
        </w:numPr>
        <w:spacing w:after="0"/>
        <w:ind w:left="567" w:hanging="567"/>
        <w:jc w:val="both"/>
        <w:rPr>
          <w:lang w:eastAsia="en-GB"/>
        </w:rPr>
      </w:pPr>
      <w:r>
        <w:rPr>
          <w:lang w:eastAsia="en-GB"/>
        </w:rPr>
        <w:t xml:space="preserve">To </w:t>
      </w:r>
      <w:r w:rsidR="00CB6263" w:rsidRPr="005A62BD">
        <w:rPr>
          <w:lang w:eastAsia="en-GB"/>
        </w:rPr>
        <w:t>speed up</w:t>
      </w:r>
      <w:r w:rsidR="008E53EE" w:rsidRPr="005A62BD">
        <w:rPr>
          <w:lang w:eastAsia="en-GB"/>
        </w:rPr>
        <w:t xml:space="preserve"> the us</w:t>
      </w:r>
      <w:r w:rsidR="00CB6263" w:rsidRPr="005A62BD">
        <w:rPr>
          <w:lang w:eastAsia="en-GB"/>
        </w:rPr>
        <w:t>e</w:t>
      </w:r>
      <w:r w:rsidR="008E53EE" w:rsidRPr="005A62BD">
        <w:rPr>
          <w:lang w:eastAsia="en-GB"/>
        </w:rPr>
        <w:t xml:space="preserve"> of the ESIF funding </w:t>
      </w:r>
      <w:r w:rsidR="0043151F" w:rsidRPr="005A62BD">
        <w:rPr>
          <w:lang w:eastAsia="en-GB"/>
        </w:rPr>
        <w:t>for</w:t>
      </w:r>
      <w:r w:rsidR="008E53EE" w:rsidRPr="005A62BD">
        <w:rPr>
          <w:lang w:eastAsia="en-GB"/>
        </w:rPr>
        <w:t xml:space="preserve"> </w:t>
      </w:r>
      <w:r w:rsidR="008E53EE" w:rsidRPr="005A62BD">
        <w:rPr>
          <w:i/>
          <w:lang w:eastAsia="en-GB"/>
        </w:rPr>
        <w:t xml:space="preserve">deinstitutionalisation </w:t>
      </w:r>
      <w:r w:rsidR="00066404">
        <w:rPr>
          <w:i/>
          <w:lang w:eastAsia="en-GB"/>
        </w:rPr>
        <w:t xml:space="preserve">of social services, as well as implementation and evaluation of </w:t>
      </w:r>
      <w:r w:rsidR="008E53EE" w:rsidRPr="005A62BD">
        <w:rPr>
          <w:i/>
          <w:lang w:eastAsia="en-GB"/>
        </w:rPr>
        <w:t xml:space="preserve">quality </w:t>
      </w:r>
      <w:r w:rsidR="00066404">
        <w:rPr>
          <w:i/>
          <w:lang w:eastAsia="en-GB"/>
        </w:rPr>
        <w:t>standards in social services (see section 4.</w:t>
      </w:r>
      <w:r w:rsidR="00B57129">
        <w:rPr>
          <w:i/>
          <w:lang w:eastAsia="en-GB"/>
        </w:rPr>
        <w:t>3</w:t>
      </w:r>
      <w:r w:rsidR="00066404">
        <w:rPr>
          <w:i/>
          <w:lang w:eastAsia="en-GB"/>
        </w:rPr>
        <w:t xml:space="preserve">). </w:t>
      </w:r>
    </w:p>
    <w:p w14:paraId="46FB6741" w14:textId="309C76EE" w:rsidR="008E53EE" w:rsidRPr="005A62BD" w:rsidRDefault="00B57129" w:rsidP="00D73FC4">
      <w:pPr>
        <w:pStyle w:val="ListParagraph"/>
        <w:numPr>
          <w:ilvl w:val="0"/>
          <w:numId w:val="25"/>
        </w:numPr>
        <w:spacing w:after="0"/>
        <w:ind w:left="567" w:hanging="567"/>
        <w:jc w:val="both"/>
        <w:rPr>
          <w:lang w:eastAsia="en-GB"/>
        </w:rPr>
      </w:pPr>
      <w:r>
        <w:rPr>
          <w:lang w:eastAsia="en-GB"/>
        </w:rPr>
        <w:t>T</w:t>
      </w:r>
      <w:r w:rsidR="008E53EE" w:rsidRPr="005A62BD">
        <w:rPr>
          <w:lang w:eastAsia="en-GB"/>
        </w:rPr>
        <w:t xml:space="preserve">o prepare and adopt a </w:t>
      </w:r>
      <w:r w:rsidR="008E53EE" w:rsidRPr="005A62BD">
        <w:rPr>
          <w:i/>
          <w:lang w:eastAsia="en-GB"/>
        </w:rPr>
        <w:t>new comprehensive system of disability assessment</w:t>
      </w:r>
      <w:r w:rsidR="008E53EE" w:rsidRPr="005A62BD">
        <w:rPr>
          <w:lang w:eastAsia="en-GB"/>
        </w:rPr>
        <w:t xml:space="preserve"> to create a common ground for assessing </w:t>
      </w:r>
      <w:r w:rsidR="0043151F" w:rsidRPr="005A62BD">
        <w:rPr>
          <w:lang w:eastAsia="en-GB"/>
        </w:rPr>
        <w:t xml:space="preserve">the </w:t>
      </w:r>
      <w:r>
        <w:rPr>
          <w:lang w:eastAsia="en-GB"/>
        </w:rPr>
        <w:t xml:space="preserve">disability </w:t>
      </w:r>
      <w:r w:rsidR="008E53EE" w:rsidRPr="005A62BD">
        <w:rPr>
          <w:lang w:eastAsia="en-GB"/>
        </w:rPr>
        <w:t xml:space="preserve">consequences </w:t>
      </w:r>
      <w:r w:rsidR="0043151F" w:rsidRPr="005A62BD">
        <w:rPr>
          <w:lang w:eastAsia="en-GB"/>
        </w:rPr>
        <w:t>in people’s</w:t>
      </w:r>
      <w:r w:rsidR="008E53EE" w:rsidRPr="005A62BD">
        <w:rPr>
          <w:lang w:eastAsia="en-GB"/>
        </w:rPr>
        <w:t xml:space="preserve"> lives and </w:t>
      </w:r>
      <w:r w:rsidR="0043151F" w:rsidRPr="005A62BD">
        <w:rPr>
          <w:lang w:eastAsia="en-GB"/>
        </w:rPr>
        <w:t xml:space="preserve">to </w:t>
      </w:r>
      <w:r w:rsidR="008E53EE" w:rsidRPr="005A62BD">
        <w:rPr>
          <w:lang w:eastAsia="en-GB"/>
        </w:rPr>
        <w:t>provide them with comprehensive rather than fragmented public support</w:t>
      </w:r>
      <w:r w:rsidR="00066404">
        <w:rPr>
          <w:lang w:eastAsia="en-GB"/>
        </w:rPr>
        <w:t xml:space="preserve"> (see section 4.</w:t>
      </w:r>
      <w:r w:rsidR="000C4355">
        <w:rPr>
          <w:lang w:eastAsia="en-GB"/>
        </w:rPr>
        <w:t>3</w:t>
      </w:r>
      <w:r w:rsidR="00066404">
        <w:rPr>
          <w:lang w:eastAsia="en-GB"/>
        </w:rPr>
        <w:t>)</w:t>
      </w:r>
      <w:r w:rsidR="008E53EE" w:rsidRPr="005A62BD">
        <w:rPr>
          <w:lang w:eastAsia="en-GB"/>
        </w:rPr>
        <w:t xml:space="preserve">. </w:t>
      </w:r>
    </w:p>
    <w:p w14:paraId="35B5158F" w14:textId="77777777" w:rsidR="008E53EE" w:rsidRPr="005A62BD" w:rsidRDefault="008E53EE" w:rsidP="00AB2EF5">
      <w:pPr>
        <w:spacing w:after="0"/>
      </w:pPr>
    </w:p>
    <w:sectPr w:rsidR="008E53EE" w:rsidRPr="005A62BD" w:rsidSect="00137236">
      <w:headerReference w:type="default" r:id="rId34"/>
      <w:footerReference w:type="default" r:id="rId35"/>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AE2A2" w14:textId="77777777" w:rsidR="003B54BB" w:rsidRDefault="003B54BB" w:rsidP="00AF323E">
      <w:r>
        <w:separator/>
      </w:r>
    </w:p>
  </w:endnote>
  <w:endnote w:type="continuationSeparator" w:id="0">
    <w:p w14:paraId="78C8A0F9" w14:textId="77777777" w:rsidR="003B54BB" w:rsidRDefault="003B54BB"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117B" w14:textId="41A003DF" w:rsidR="003B54BB" w:rsidRDefault="003B54BB" w:rsidP="00694F9D">
    <w:pPr>
      <w:pStyle w:val="Footer"/>
      <w:jc w:val="center"/>
    </w:pPr>
    <w:r>
      <w:fldChar w:fldCharType="begin"/>
    </w:r>
    <w:r>
      <w:instrText xml:space="preserve"> PAGE   \* MERGEFORMAT </w:instrText>
    </w:r>
    <w:r>
      <w:fldChar w:fldCharType="separate"/>
    </w:r>
    <w:r>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5012" w14:textId="77777777" w:rsidR="003B54BB" w:rsidRDefault="003B54BB" w:rsidP="00375C64">
      <w:pPr>
        <w:spacing w:after="0"/>
      </w:pPr>
      <w:r>
        <w:separator/>
      </w:r>
    </w:p>
  </w:footnote>
  <w:footnote w:type="continuationSeparator" w:id="0">
    <w:p w14:paraId="5A7C305A" w14:textId="77777777" w:rsidR="003B54BB" w:rsidRDefault="003B54BB" w:rsidP="00AF323E">
      <w:r>
        <w:continuationSeparator/>
      </w:r>
    </w:p>
  </w:footnote>
  <w:footnote w:type="continuationNotice" w:id="1">
    <w:p w14:paraId="666E32B1" w14:textId="77777777" w:rsidR="003B54BB" w:rsidRPr="001F0365" w:rsidRDefault="003B54BB">
      <w:pPr>
        <w:spacing w:after="0"/>
        <w:rPr>
          <w:sz w:val="2"/>
          <w:szCs w:val="2"/>
        </w:rPr>
      </w:pPr>
    </w:p>
  </w:footnote>
  <w:footnote w:id="2">
    <w:p w14:paraId="41DE3A49" w14:textId="77777777" w:rsidR="003B54BB" w:rsidRPr="003B54BB" w:rsidRDefault="003B54BB" w:rsidP="003B54BB">
      <w:pPr>
        <w:pStyle w:val="FootnoteRM"/>
        <w:rPr>
          <w:lang w:val="sk-SK"/>
        </w:rPr>
      </w:pPr>
      <w:r w:rsidRPr="003B54BB">
        <w:rPr>
          <w:rStyle w:val="FootnoteReference"/>
        </w:rPr>
        <w:footnoteRef/>
      </w:r>
      <w:r w:rsidRPr="003B54BB">
        <w:rPr>
          <w:lang w:val="sk-SK"/>
        </w:rPr>
        <w:t xml:space="preserve"> </w:t>
      </w:r>
      <w:r w:rsidRPr="003B54BB">
        <w:rPr>
          <w:lang w:val="sk-SK"/>
        </w:rPr>
        <w:tab/>
      </w:r>
      <w:hyperlink r:id="rId1" w:history="1">
        <w:r w:rsidRPr="003B54BB">
          <w:rPr>
            <w:rStyle w:val="Hyperlink"/>
            <w:lang w:val="sk-SK"/>
          </w:rPr>
          <w:t>http://ec.europa.eu/europe2020/pdf/targets_en.pdf</w:t>
        </w:r>
      </w:hyperlink>
      <w:r w:rsidRPr="003B54BB">
        <w:rPr>
          <w:rStyle w:val="Hyperlink"/>
          <w:u w:val="none"/>
          <w:lang w:val="sk-SK"/>
        </w:rPr>
        <w:t>.</w:t>
      </w:r>
    </w:p>
  </w:footnote>
  <w:footnote w:id="3">
    <w:p w14:paraId="7F9CD94E" w14:textId="3AAB611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rStyle w:val="FootnoteRMChar"/>
        </w:rPr>
        <w:t xml:space="preserve">Available at: </w:t>
      </w:r>
      <w:hyperlink r:id="rId2" w:history="1">
        <w:r w:rsidRPr="003B54BB">
          <w:rPr>
            <w:rStyle w:val="Hyperlink"/>
            <w:lang w:val="sk-SK"/>
          </w:rPr>
          <w:t>http://www.employment.gov.sk/files/slovensky/rodina-socialna-pomoc/tazke-zdravotne-postihnutie/narodny-program-rozvoja-zivotnych-podmienok-osob-so-zdravotnym-postihnutim-roky-2014-2020.pdf</w:t>
        </w:r>
      </w:hyperlink>
      <w:r w:rsidRPr="003B54BB">
        <w:rPr>
          <w:rStyle w:val="FootnoteRMChar"/>
          <w:lang w:val="sk-SK"/>
        </w:rPr>
        <w:t>.</w:t>
      </w:r>
    </w:p>
  </w:footnote>
  <w:footnote w:id="4">
    <w:p w14:paraId="5649CA8B" w14:textId="189F662B" w:rsidR="003B54BB" w:rsidRPr="003B54BB" w:rsidRDefault="003B54BB" w:rsidP="003B54BB">
      <w:pPr>
        <w:pStyle w:val="FootnoteRM"/>
      </w:pPr>
      <w:r w:rsidRPr="003B54BB">
        <w:rPr>
          <w:rStyle w:val="FootnoteReference"/>
        </w:rPr>
        <w:footnoteRef/>
      </w:r>
      <w:r w:rsidRPr="003B54BB">
        <w:t xml:space="preserve"> </w:t>
      </w:r>
      <w:r w:rsidRPr="003B54BB">
        <w:tab/>
      </w:r>
      <w:r w:rsidRPr="003B54BB">
        <w:rPr>
          <w:lang w:eastAsia="en-GB"/>
        </w:rPr>
        <w:t>EUSILC UDB 2015 – version of October 2017.</w:t>
      </w:r>
    </w:p>
  </w:footnote>
  <w:footnote w:id="5">
    <w:p w14:paraId="67EC24A3" w14:textId="433A8313" w:rsidR="003B54BB" w:rsidRPr="003B54BB" w:rsidRDefault="003B54BB" w:rsidP="003B54BB">
      <w:pPr>
        <w:pStyle w:val="FootnoteRM"/>
      </w:pPr>
      <w:r w:rsidRPr="003B54BB">
        <w:rPr>
          <w:rStyle w:val="FootnoteReference"/>
        </w:rPr>
        <w:footnoteRef/>
      </w:r>
      <w:r w:rsidRPr="003B54BB">
        <w:t xml:space="preserve"> </w:t>
      </w:r>
      <w:r w:rsidRPr="003B54BB">
        <w:tab/>
        <w:t xml:space="preserve">The SILC survey questions are contained in the Minimum European Health Module (MEHM) </w:t>
      </w:r>
      <w:hyperlink r:id="rId3" w:history="1">
        <w:r w:rsidRPr="003B54BB">
          <w:rPr>
            <w:rStyle w:val="Hyperlink"/>
          </w:rPr>
          <w:t>http://epp.eurostat.ec.europa.eu/statistics_explained/index.php/Glossary:Minimum_European_Health_Module_(MEHM)</w:t>
        </w:r>
      </w:hyperlink>
      <w:r w:rsidRPr="003B54BB">
        <w:t>.</w:t>
      </w:r>
    </w:p>
  </w:footnote>
  <w:footnote w:id="6">
    <w:p w14:paraId="694681DD" w14:textId="3A396B4B" w:rsidR="003B54BB" w:rsidRPr="003B54BB" w:rsidRDefault="003B54BB" w:rsidP="003B54BB">
      <w:pPr>
        <w:pStyle w:val="FootnoteRM"/>
      </w:pPr>
      <w:r w:rsidRPr="003B54BB">
        <w:rPr>
          <w:rStyle w:val="FootnoteReference"/>
        </w:rPr>
        <w:footnoteRef/>
      </w:r>
      <w:r w:rsidRPr="003B54BB">
        <w:t xml:space="preserve"> </w:t>
      </w:r>
      <w:r w:rsidRPr="003B54BB">
        <w:tab/>
        <w:t xml:space="preserve">The methodology is further explained in the annual statistical reports of ANED, available at </w:t>
      </w:r>
      <w:hyperlink r:id="rId4" w:history="1">
        <w:r w:rsidRPr="003B54BB">
          <w:rPr>
            <w:rStyle w:val="Hyperlink"/>
          </w:rPr>
          <w:t>http://www.disability-europe.net/theme/statistical-indicators</w:t>
        </w:r>
      </w:hyperlink>
      <w:r w:rsidRPr="003B54BB">
        <w:t>.</w:t>
      </w:r>
    </w:p>
  </w:footnote>
  <w:footnote w:id="7">
    <w:p w14:paraId="6D4F0DED"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Regulated by the Act No. 447/2008 Coll. on Cash Benefits for Compensation of Severe Disability as amended.</w:t>
      </w:r>
    </w:p>
  </w:footnote>
  <w:footnote w:id="8">
    <w:p w14:paraId="0CD625A0"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Regulated by the Act No. 461/2003 Coll. On social insurance as amended.</w:t>
      </w:r>
    </w:p>
  </w:footnote>
  <w:footnote w:id="9">
    <w:p w14:paraId="33D7B1C1" w14:textId="67FD0C02"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Available at: </w:t>
      </w:r>
      <w:hyperlink r:id="rId5" w:history="1">
        <w:r w:rsidRPr="003B54BB">
          <w:rPr>
            <w:rStyle w:val="Hyperlink"/>
          </w:rPr>
          <w:t>https://www.employment.gov.sk/sk/ministerstvo/vyskum-oblasti-prace-socialnych-veci-institut-socialnej-politiky/spravy-socialnej-situacii-obyvatelstva-slovenskej-republiky.html</w:t>
        </w:r>
      </w:hyperlink>
      <w:r w:rsidRPr="003B54BB">
        <w:rPr>
          <w:rStyle w:val="Hyperlink"/>
          <w:u w:val="none"/>
        </w:rPr>
        <w:t>.</w:t>
      </w:r>
      <w:r w:rsidRPr="003B54BB">
        <w:t xml:space="preserve"> </w:t>
      </w:r>
    </w:p>
  </w:footnote>
  <w:footnote w:id="10">
    <w:p w14:paraId="68ADDBC2" w14:textId="0BB43985" w:rsidR="003B54BB" w:rsidRPr="003B54BB" w:rsidRDefault="003B54BB" w:rsidP="003B54BB">
      <w:pPr>
        <w:pStyle w:val="FootnoteRM"/>
      </w:pPr>
      <w:r w:rsidRPr="003B54BB">
        <w:rPr>
          <w:rStyle w:val="FootnoteReference"/>
        </w:rPr>
        <w:footnoteRef/>
      </w:r>
      <w:r w:rsidRPr="003B54BB">
        <w:t xml:space="preserve"> </w:t>
      </w:r>
      <w:r w:rsidRPr="003B54BB">
        <w:tab/>
        <w:t xml:space="preserve">For the LFS AHM data see, Early school leavers </w:t>
      </w:r>
      <w:hyperlink r:id="rId6" w:history="1">
        <w:r w:rsidRPr="003B54BB">
          <w:rPr>
            <w:rStyle w:val="Hyperlink"/>
          </w:rPr>
          <w:t>http://appsso.eurostat.ec.europa.eu/nui/show.do?dataset=hlth_de010&amp;lang=en</w:t>
        </w:r>
      </w:hyperlink>
    </w:p>
    <w:p w14:paraId="70D49CBB" w14:textId="70044958" w:rsidR="003B54BB" w:rsidRPr="003B54BB" w:rsidRDefault="003B54BB" w:rsidP="003B54BB">
      <w:pPr>
        <w:pStyle w:val="FootnoteRM"/>
        <w:ind w:firstLine="0"/>
      </w:pPr>
      <w:r w:rsidRPr="003B54BB">
        <w:t xml:space="preserve">and for tertiary educational attainment </w:t>
      </w:r>
      <w:hyperlink r:id="rId7" w:history="1">
        <w:r w:rsidRPr="003B54BB">
          <w:rPr>
            <w:rStyle w:val="Hyperlink"/>
          </w:rPr>
          <w:t>http://appsso.eurostat.ec.europa.eu/nui/show.do?dataset=hlth_de020&amp;lang=en</w:t>
        </w:r>
      </w:hyperlink>
      <w:r w:rsidRPr="003B54BB">
        <w:t>.</w:t>
      </w:r>
    </w:p>
  </w:footnote>
  <w:footnote w:id="11">
    <w:p w14:paraId="620DC56E" w14:textId="3D5762D5"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 xml:space="preserve">Percentage of economically active PwD aged 15-29 in the whole population of economically active PwD. </w:t>
      </w:r>
    </w:p>
  </w:footnote>
  <w:footnote w:id="12">
    <w:p w14:paraId="6D6F7B6C" w14:textId="018D32E3"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 xml:space="preserve">Percentage of employed PwD aged 15-29 in the whole employed population with disability. </w:t>
      </w:r>
    </w:p>
  </w:footnote>
  <w:footnote w:id="13">
    <w:p w14:paraId="2F267081" w14:textId="14AA897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 xml:space="preserve">Percentage of unemployed PwD aged 15-29 in the whole unemployed population with disability. </w:t>
      </w:r>
    </w:p>
  </w:footnote>
  <w:footnote w:id="14">
    <w:p w14:paraId="1E703340"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New national LFS data from the Statistical Office were not available when elaborating this report in October 2016.</w:t>
      </w:r>
    </w:p>
  </w:footnote>
  <w:footnote w:id="15">
    <w:p w14:paraId="6E58FD5C" w14:textId="64ECA28C" w:rsidR="003B54BB" w:rsidRPr="003B54BB" w:rsidRDefault="003B54BB" w:rsidP="003B54BB">
      <w:pPr>
        <w:pStyle w:val="Default"/>
        <w:ind w:left="284" w:hanging="284"/>
        <w:rPr>
          <w:rFonts w:ascii="Arial" w:hAnsi="Arial" w:cs="Arial"/>
          <w:sz w:val="20"/>
          <w:szCs w:val="20"/>
        </w:rPr>
      </w:pPr>
      <w:r w:rsidRPr="003B54BB">
        <w:rPr>
          <w:rStyle w:val="FootnoteReference"/>
          <w:rFonts w:ascii="Arial" w:hAnsi="Arial" w:cs="Arial"/>
          <w:sz w:val="20"/>
          <w:szCs w:val="20"/>
        </w:rPr>
        <w:footnoteRef/>
      </w:r>
      <w:r w:rsidRPr="003B54BB">
        <w:rPr>
          <w:rFonts w:ascii="Arial" w:hAnsi="Arial" w:cs="Arial"/>
          <w:sz w:val="20"/>
          <w:szCs w:val="20"/>
        </w:rPr>
        <w:t xml:space="preserve"> </w:t>
      </w:r>
      <w:r>
        <w:rPr>
          <w:rFonts w:ascii="Arial" w:hAnsi="Arial" w:cs="Arial"/>
          <w:sz w:val="20"/>
          <w:szCs w:val="20"/>
        </w:rPr>
        <w:tab/>
      </w:r>
      <w:r w:rsidRPr="003B54BB">
        <w:rPr>
          <w:rFonts w:ascii="Arial" w:hAnsi="Arial" w:cs="Arial"/>
          <w:bCs/>
          <w:sz w:val="20"/>
          <w:szCs w:val="20"/>
        </w:rPr>
        <w:t xml:space="preserve">Akčný plán na posilnenie integrácie dlhodobo nezamestnaných na trh práce v Slovenskej republike. MPSVaR, 2016. Available at: </w:t>
      </w:r>
      <w:hyperlink r:id="rId8" w:history="1">
        <w:r w:rsidRPr="00B37EE6">
          <w:rPr>
            <w:rStyle w:val="Hyperlink"/>
            <w:rFonts w:ascii="Arial" w:hAnsi="Arial" w:cs="Arial"/>
            <w:bCs/>
            <w:sz w:val="20"/>
            <w:szCs w:val="20"/>
          </w:rPr>
          <w:t>https://www.employment.gov.sk/files/slovensky/apdn_06122016_sk_final.pdf</w:t>
        </w:r>
      </w:hyperlink>
      <w:r>
        <w:rPr>
          <w:rFonts w:ascii="Arial" w:hAnsi="Arial" w:cs="Arial"/>
          <w:bCs/>
          <w:color w:val="auto"/>
          <w:sz w:val="20"/>
          <w:szCs w:val="20"/>
        </w:rPr>
        <w:t>.</w:t>
      </w:r>
      <w:r>
        <w:rPr>
          <w:rFonts w:ascii="Arial" w:hAnsi="Arial" w:cs="Arial"/>
          <w:bCs/>
          <w:sz w:val="20"/>
          <w:szCs w:val="20"/>
        </w:rPr>
        <w:t xml:space="preserve"> </w:t>
      </w:r>
    </w:p>
  </w:footnote>
  <w:footnote w:id="16">
    <w:p w14:paraId="66FC9759" w14:textId="04B5E024" w:rsidR="003B54BB" w:rsidRPr="003B54BB" w:rsidRDefault="003B54BB" w:rsidP="003B54BB">
      <w:pPr>
        <w:pStyle w:val="FootnoteText"/>
        <w:spacing w:after="0"/>
        <w:ind w:left="284" w:hanging="284"/>
        <w:rPr>
          <w:lang w:val="sk-SK"/>
        </w:rPr>
      </w:pPr>
      <w:r w:rsidRPr="003B54BB">
        <w:rPr>
          <w:rStyle w:val="FootnoteReference"/>
        </w:rPr>
        <w:footnoteRef/>
      </w:r>
      <w:r>
        <w:tab/>
      </w:r>
      <w:r w:rsidRPr="003B54BB">
        <w:t>The call</w:t>
      </w:r>
      <w:r>
        <w:t xml:space="preserve"> </w:t>
      </w:r>
      <w:r w:rsidRPr="003B54BB">
        <w:t xml:space="preserve">is supposed to be announced in the 2nd half of 2018.  </w:t>
      </w:r>
    </w:p>
  </w:footnote>
  <w:footnote w:id="17">
    <w:p w14:paraId="62747521" w14:textId="77777777" w:rsidR="003B54BB" w:rsidRPr="003B54BB" w:rsidRDefault="003B54BB" w:rsidP="003B54BB">
      <w:pPr>
        <w:pStyle w:val="FootnoteRM"/>
        <w:rPr>
          <w:lang w:val="sk-SK"/>
        </w:rPr>
      </w:pPr>
      <w:r w:rsidRPr="003B54BB">
        <w:rPr>
          <w:rStyle w:val="FootnoteReference"/>
        </w:rPr>
        <w:footnoteRef/>
      </w:r>
      <w:r w:rsidRPr="003B54BB">
        <w:rPr>
          <w:lang w:val="sk-SK"/>
        </w:rPr>
        <w:t xml:space="preserve"> </w:t>
      </w:r>
      <w:r w:rsidRPr="003B54BB">
        <w:rPr>
          <w:lang w:val="sk-SK"/>
        </w:rPr>
        <w:tab/>
      </w:r>
      <w:hyperlink r:id="rId9" w:history="1">
        <w:r w:rsidRPr="003B54BB">
          <w:rPr>
            <w:rStyle w:val="Hyperlink"/>
            <w:lang w:val="sk-SK"/>
          </w:rPr>
          <w:t>https://circabc.europa.eu/sd/a/6f3aab20-0c33-4875-a1f9-ec16bcff81f2/DOCSILC065%20operation%202015%20VERSION%20july2014.pdf</w:t>
        </w:r>
      </w:hyperlink>
      <w:r w:rsidRPr="003B54BB">
        <w:rPr>
          <w:lang w:val="sk-SK"/>
        </w:rPr>
        <w:t xml:space="preserve">; </w:t>
      </w:r>
      <w:hyperlink r:id="rId10" w:history="1">
        <w:r w:rsidRPr="003B54BB">
          <w:rPr>
            <w:rStyle w:val="Hyperlink"/>
            <w:lang w:val="sk-SK"/>
          </w:rPr>
          <w:t>http://www.statistics.sk/pls/elisw/utlData.htmlBodyWin?uic=80</w:t>
        </w:r>
      </w:hyperlink>
      <w:r w:rsidRPr="003B54BB">
        <w:rPr>
          <w:rStyle w:val="Hyperlink"/>
          <w:u w:val="none"/>
          <w:lang w:val="sk-SK"/>
        </w:rPr>
        <w:t>.</w:t>
      </w:r>
    </w:p>
  </w:footnote>
  <w:footnote w:id="18">
    <w:p w14:paraId="1729CBF3" w14:textId="0C6FFE25" w:rsidR="003B54BB" w:rsidRPr="003B54BB" w:rsidRDefault="003B54BB" w:rsidP="003B54BB">
      <w:pPr>
        <w:pStyle w:val="FootnoteRM"/>
      </w:pPr>
      <w:r w:rsidRPr="003B54BB">
        <w:rPr>
          <w:rStyle w:val="FootnoteReference"/>
        </w:rPr>
        <w:footnoteRef/>
      </w:r>
      <w:r w:rsidRPr="003B54BB">
        <w:t xml:space="preserve"> </w:t>
      </w:r>
      <w:r w:rsidRPr="003B54BB">
        <w:tab/>
        <w:t xml:space="preserve">Using corresponding EU-SILC 2014 data extracted from the Eurostat disability database (hlth_dpe050) </w:t>
      </w:r>
      <w:hyperlink r:id="rId11" w:history="1">
        <w:r w:rsidRPr="003B54BB">
          <w:rPr>
            <w:rStyle w:val="Hyperlink"/>
          </w:rPr>
          <w:t>http://ec.europa.eu/eurostat/web/health/disability/data/database</w:t>
        </w:r>
      </w:hyperlink>
      <w:r w:rsidRPr="003B54BB">
        <w:rPr>
          <w:rStyle w:val="Hyperlink"/>
        </w:rPr>
        <w:t>.</w:t>
      </w:r>
    </w:p>
  </w:footnote>
  <w:footnote w:id="19">
    <w:p w14:paraId="19C84EA0" w14:textId="641575A3"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Správa o sociálnej situácii obyvateľstva SR za rok 2015 (The Report on social situation of the SK citizens in 2014). Available at:</w:t>
      </w:r>
      <w:r w:rsidRPr="003B54BB">
        <w:t xml:space="preserve"> </w:t>
      </w:r>
      <w:hyperlink r:id="rId12" w:history="1">
        <w:r w:rsidRPr="003B54BB">
          <w:rPr>
            <w:rStyle w:val="Hyperlink"/>
          </w:rPr>
          <w:t>https://www.employment.gov.sk/files/slovensky/ministerstvo/analyticke-centrum/sprava-socialnej-situacii-obyvatelstva-za-rok-2015.pdf</w:t>
        </w:r>
      </w:hyperlink>
      <w:r w:rsidRPr="003B54BB">
        <w:t>.</w:t>
      </w:r>
    </w:p>
  </w:footnote>
  <w:footnote w:id="20">
    <w:p w14:paraId="347D155C" w14:textId="55C85938" w:rsidR="003B54BB" w:rsidRPr="003B54BB" w:rsidRDefault="003B54BB" w:rsidP="003B54BB">
      <w:pPr>
        <w:pStyle w:val="FootnoteRM"/>
        <w:rPr>
          <w:lang w:val="sk-SK"/>
        </w:rPr>
      </w:pPr>
      <w:r w:rsidRPr="003B54BB">
        <w:rPr>
          <w:rStyle w:val="FootnoteReference"/>
        </w:rPr>
        <w:footnoteRef/>
      </w:r>
      <w:r>
        <w:tab/>
      </w:r>
      <w:r w:rsidRPr="003B54BB">
        <w:rPr>
          <w:lang w:val="sk-SK"/>
        </w:rPr>
        <w:t xml:space="preserve">Available at: </w:t>
      </w:r>
      <w:r w:rsidRPr="003B54BB">
        <w:rPr>
          <w:rStyle w:val="Hyperlink"/>
          <w:lang w:val="sk-SK"/>
        </w:rPr>
        <w:fldChar w:fldCharType="begin"/>
      </w:r>
      <w:r w:rsidRPr="003B54BB">
        <w:rPr>
          <w:rStyle w:val="Hyperlink"/>
          <w:lang w:val="sk-SK"/>
        </w:rPr>
        <w:instrText xml:space="preserve"> HYPERLINK "http://www.vlada.gov.sk/data/files/6489.pdf" </w:instrText>
      </w:r>
      <w:r w:rsidRPr="003B54BB">
        <w:rPr>
          <w:rStyle w:val="Hyperlink"/>
          <w:lang w:val="sk-SK"/>
        </w:rPr>
        <w:fldChar w:fldCharType="separate"/>
      </w:r>
      <w:r w:rsidRPr="003B54BB">
        <w:rPr>
          <w:rStyle w:val="Hyperlink"/>
          <w:lang w:val="sk-SK"/>
        </w:rPr>
        <w:t>http://www.vlada.gov.sk/data/files/6489.pdf</w:t>
      </w:r>
      <w:r w:rsidRPr="003B54BB">
        <w:rPr>
          <w:rStyle w:val="Hyperlink"/>
          <w:lang w:val="sk-SK"/>
        </w:rPr>
        <w:fldChar w:fldCharType="end"/>
      </w:r>
      <w:r w:rsidRPr="003B54BB">
        <w:rPr>
          <w:lang w:val="sk-SK"/>
        </w:rPr>
        <w:t>.</w:t>
      </w:r>
    </w:p>
  </w:footnote>
  <w:footnote w:id="21">
    <w:p w14:paraId="3DA93DF8"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Available at: </w:t>
      </w:r>
      <w:hyperlink r:id="rId13" w:history="1">
        <w:r w:rsidRPr="003B54BB">
          <w:rPr>
            <w:rStyle w:val="Hyperlink"/>
          </w:rPr>
          <w:t>http://www.ohchr.org/EN/Countries/ENACARegion/Pages/SKIndex.aspx</w:t>
        </w:r>
      </w:hyperlink>
      <w:r w:rsidRPr="003B54BB">
        <w:rPr>
          <w:rStyle w:val="Hyperlink"/>
          <w:u w:val="none"/>
        </w:rPr>
        <w:t>.</w:t>
      </w:r>
    </w:p>
  </w:footnote>
  <w:footnote w:id="22">
    <w:p w14:paraId="20BB1AE1"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 xml:space="preserve">Available at: </w:t>
      </w:r>
      <w:hyperlink r:id="rId14" w:history="1">
        <w:r w:rsidRPr="003B54BB">
          <w:rPr>
            <w:rStyle w:val="Hyperlink"/>
            <w:lang w:val="sk-SK"/>
          </w:rPr>
          <w:t>http://www.rokovania.sk/Rokovanie.aspx/BodRokovaniaDetail?idMaterial=23180</w:t>
        </w:r>
      </w:hyperlink>
      <w:r w:rsidRPr="003B54BB">
        <w:rPr>
          <w:lang w:val="sk-SK"/>
        </w:rPr>
        <w:t>.</w:t>
      </w:r>
    </w:p>
  </w:footnote>
  <w:footnote w:id="23">
    <w:p w14:paraId="4502DDAA" w14:textId="77F03C15" w:rsidR="003B54BB" w:rsidRPr="003B54BB" w:rsidRDefault="003B54BB" w:rsidP="003B54BB">
      <w:pPr>
        <w:pStyle w:val="FootnoteRM"/>
        <w:rPr>
          <w:lang w:val="sk-SK"/>
        </w:rPr>
      </w:pPr>
      <w:r w:rsidRPr="003B54BB">
        <w:rPr>
          <w:rStyle w:val="FootnoteReference"/>
        </w:rPr>
        <w:footnoteRef/>
      </w:r>
      <w:r>
        <w:tab/>
      </w:r>
      <w:r w:rsidRPr="003B54BB">
        <w:t>The document has not yet been officially approved by the government. This is expected to be done in autumn this year, i.e. before delivering our final report. Therefore</w:t>
      </w:r>
      <w:r>
        <w:t>,</w:t>
      </w:r>
      <w:r w:rsidRPr="003B54BB">
        <w:t xml:space="preserve"> no link to access the document is available </w:t>
      </w:r>
      <w:proofErr w:type="gramStart"/>
      <w:r w:rsidRPr="003B54BB">
        <w:t>at the moment</w:t>
      </w:r>
      <w:proofErr w:type="gramEnd"/>
      <w:r w:rsidRPr="003B54BB">
        <w:t xml:space="preserve">. </w:t>
      </w:r>
    </w:p>
  </w:footnote>
  <w:footnote w:id="24">
    <w:p w14:paraId="4D9D16FB" w14:textId="09F923E4" w:rsidR="003B54BB" w:rsidRPr="003B54BB" w:rsidRDefault="003B54BB" w:rsidP="003B54BB">
      <w:pPr>
        <w:pStyle w:val="FootnoteRM"/>
        <w:rPr>
          <w:lang w:eastAsia="sk-SK"/>
        </w:rPr>
      </w:pPr>
      <w:r w:rsidRPr="003B54BB">
        <w:rPr>
          <w:rStyle w:val="FootnoteReference"/>
        </w:rPr>
        <w:footnoteRef/>
      </w:r>
      <w:r w:rsidRPr="003B54BB">
        <w:t xml:space="preserve"> </w:t>
      </w:r>
      <w:r w:rsidRPr="003B54BB">
        <w:tab/>
        <w:t xml:space="preserve">This recommendation reflects the current legislative framework, in which all the ALMPs to support employment of PWD (except the allowance to maintain employees at work and allowance to work assistant) are linked to the sheltered workshops and designated sheltered workplaces. Sheltered In fact, in December 2016, only 28 % of all 5563 subjects of sheltered employment were sheltered workshops. The remaining three quarters had a status of sheltered workplace (3993 subjects), each of them </w:t>
      </w:r>
      <w:proofErr w:type="gramStart"/>
      <w:r w:rsidRPr="003B54BB">
        <w:t>by definition employing</w:t>
      </w:r>
      <w:proofErr w:type="gramEnd"/>
      <w:r w:rsidRPr="003B54BB">
        <w:t xml:space="preserve"> only one person with disabilities.</w:t>
      </w:r>
    </w:p>
  </w:footnote>
  <w:footnote w:id="25">
    <w:p w14:paraId="300FA69B"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Within the Operational Programme Human Resources, priority axis 2: Youth Employment Initiative, Investment priority </w:t>
      </w:r>
      <w:r w:rsidRPr="003B54BB">
        <w:rPr>
          <w:bCs/>
          <w:iCs/>
        </w:rPr>
        <w:t xml:space="preserve">2.1 Sustainable integration into the labour market of young people, </w:t>
      </w:r>
      <w:proofErr w:type="gramStart"/>
      <w:r w:rsidRPr="003B54BB">
        <w:rPr>
          <w:bCs/>
          <w:iCs/>
        </w:rPr>
        <w:t>in particular those</w:t>
      </w:r>
      <w:proofErr w:type="gramEnd"/>
      <w:r w:rsidRPr="003B54BB">
        <w:rPr>
          <w:bCs/>
          <w:iCs/>
        </w:rPr>
        <w:t xml:space="preserve"> not in employment, education or training, including young people at risk of social exclusion and young people from marginalised communities, including through the implementation of the Youth Guarantee.</w:t>
      </w:r>
    </w:p>
  </w:footnote>
  <w:footnote w:id="26">
    <w:p w14:paraId="6377448D" w14:textId="77777777" w:rsidR="003B54BB" w:rsidRPr="003B54BB" w:rsidRDefault="003B54BB" w:rsidP="003B54BB">
      <w:pPr>
        <w:pStyle w:val="FootnoteRM"/>
      </w:pPr>
      <w:r w:rsidRPr="003B54BB">
        <w:rPr>
          <w:rStyle w:val="FootnoteReference"/>
        </w:rPr>
        <w:footnoteRef/>
      </w:r>
      <w:r w:rsidRPr="003B54BB">
        <w:rPr>
          <w:lang w:val="sk-SK"/>
        </w:rPr>
        <w:t xml:space="preserve"> </w:t>
      </w:r>
      <w:r w:rsidRPr="003B54BB">
        <w:rPr>
          <w:lang w:val="sk-SK"/>
        </w:rPr>
        <w:tab/>
      </w:r>
      <w:r w:rsidRPr="003B54BB">
        <w:rPr>
          <w:lang w:val="sk-SK"/>
        </w:rPr>
        <w:t xml:space="preserve">The cal lis available at: </w:t>
      </w:r>
      <w:hyperlink r:id="rId15" w:history="1">
        <w:r w:rsidRPr="003B54BB">
          <w:rPr>
            <w:rStyle w:val="Hyperlink"/>
          </w:rPr>
          <w:t>https://www.ia.gov.sk/sk/dopytovo-orientovane-projekty/vyzvy/op-lz-dop-20164.2.1011</w:t>
        </w:r>
      </w:hyperlink>
      <w:r w:rsidRPr="003B54BB">
        <w:t>.</w:t>
      </w:r>
    </w:p>
  </w:footnote>
  <w:footnote w:id="27">
    <w:p w14:paraId="3AF87DA0"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rFonts w:eastAsia="Arial"/>
        </w:rPr>
        <w:t>The allowance can be used to cover the employer’s expenses related to establishing a sheltered workshop or to accommodate a sheltered workplace and to equip them with machines, facilities and work aids required for the job to be performed by a disabled employee.</w:t>
      </w:r>
    </w:p>
  </w:footnote>
  <w:footnote w:id="28">
    <w:p w14:paraId="69F845E1"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rFonts w:eastAsia="Arial"/>
        </w:rPr>
        <w:t>Designed to support the employers in an open labour market provided that the total number of their employees with disabilities is at least 25%. Sheltered workshops are excluded from being eligible for this allowance. The allowance is a kind of wage subsidy and may cover levy related costs of the employer.</w:t>
      </w:r>
    </w:p>
  </w:footnote>
  <w:footnote w:id="29">
    <w:p w14:paraId="749DB202"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rFonts w:eastAsia="Arial"/>
        </w:rPr>
        <w:t>Designed to enable people with disabilities to start up a business.</w:t>
      </w:r>
    </w:p>
  </w:footnote>
  <w:footnote w:id="30">
    <w:p w14:paraId="60C2FECB"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To cover costs related to assistance provided to an employee with disabilities at work by another employee in specified activities.</w:t>
      </w:r>
    </w:p>
  </w:footnote>
  <w:footnote w:id="31">
    <w:p w14:paraId="33B5AC8E"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May include expenses related to energies and rent, transport of materials and products of the workshop, levies paid by employer for persons with disabilities and other administrative expenses. All these are eligible rather than refunded expenses, since the maximum support per one workplace is 5-times total labour costs (calculated on the monthly national average wage) annually.</w:t>
      </w:r>
    </w:p>
  </w:footnote>
  <w:footnote w:id="32">
    <w:p w14:paraId="5BA99242" w14:textId="1E9613B5" w:rsidR="003B54BB" w:rsidRPr="003B54BB" w:rsidRDefault="003B54BB" w:rsidP="003B54BB">
      <w:pPr>
        <w:pStyle w:val="FootnoteRM"/>
        <w:rPr>
          <w:lang w:val="nl-NL"/>
        </w:rPr>
      </w:pPr>
      <w:r w:rsidRPr="003B54BB">
        <w:rPr>
          <w:rStyle w:val="FootnoteReference"/>
        </w:rPr>
        <w:footnoteRef/>
      </w:r>
      <w:r w:rsidRPr="003B54BB">
        <w:rPr>
          <w:lang w:val="sk-SK"/>
        </w:rPr>
        <w:t xml:space="preserve"> </w:t>
      </w:r>
      <w:r w:rsidRPr="003B54BB">
        <w:rPr>
          <w:lang w:val="sk-SK"/>
        </w:rPr>
        <w:tab/>
      </w:r>
      <w:r w:rsidRPr="003B54BB">
        <w:rPr>
          <w:lang w:val="sk-SK"/>
        </w:rPr>
        <w:t xml:space="preserve">Ministerstvo práce, sociálnych vecí a rodiny Slovenskej republiky. Správa o sociálnej situácii obyvateľstva. </w:t>
      </w:r>
      <w:r w:rsidRPr="003B54BB">
        <w:rPr>
          <w:lang w:val="nl-NL"/>
        </w:rPr>
        <w:t xml:space="preserve">Dostupné na: </w:t>
      </w:r>
      <w:hyperlink r:id="rId16" w:history="1">
        <w:r w:rsidR="006C3173" w:rsidRPr="00B37EE6">
          <w:rPr>
            <w:rStyle w:val="Hyperlink"/>
            <w:lang w:val="nl-NL"/>
          </w:rPr>
          <w:t>https://www.mpsvr.sk/sk/ministerstvo/vyskum-oblasti-prace-socialnych-veci-institut-socialnej-politiky/spravy-socialnej-situacii-obyvatelstva-slovenskej-republiky.html</w:t>
        </w:r>
      </w:hyperlink>
      <w:r w:rsidR="006C3173">
        <w:rPr>
          <w:lang w:val="nl-NL"/>
        </w:rPr>
        <w:t xml:space="preserve">. </w:t>
      </w:r>
    </w:p>
  </w:footnote>
  <w:footnote w:id="33">
    <w:p w14:paraId="7ACA2441" w14:textId="77777777" w:rsidR="003B54BB" w:rsidRPr="003B54BB" w:rsidRDefault="003B54BB" w:rsidP="003B54BB">
      <w:pPr>
        <w:pStyle w:val="FootnoteRM"/>
      </w:pPr>
      <w:r w:rsidRPr="003B54BB">
        <w:rPr>
          <w:rStyle w:val="FootnoteReference"/>
        </w:rPr>
        <w:footnoteRef/>
      </w:r>
      <w:r w:rsidRPr="003B54BB">
        <w:t xml:space="preserve"> </w:t>
      </w:r>
      <w:r w:rsidRPr="003B54BB">
        <w:tab/>
        <w:t xml:space="preserve">Available at: </w:t>
      </w:r>
      <w:hyperlink r:id="rId17" w:history="1">
        <w:r w:rsidRPr="003B54BB">
          <w:rPr>
            <w:rStyle w:val="Hyperlink"/>
          </w:rPr>
          <w:t>http://www.finance.gov.sk/Default.aspx?CatID=11380</w:t>
        </w:r>
      </w:hyperlink>
      <w:r w:rsidRPr="003B54BB">
        <w:rPr>
          <w:rStyle w:val="Hyperlink"/>
        </w:rPr>
        <w:t>.</w:t>
      </w:r>
    </w:p>
  </w:footnote>
  <w:footnote w:id="34">
    <w:p w14:paraId="37DDD62A"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Poland, Hungary, Czech Republic, Slovakia.</w:t>
      </w:r>
    </w:p>
  </w:footnote>
  <w:footnote w:id="35">
    <w:p w14:paraId="1F4C71E0" w14:textId="77777777" w:rsidR="003B54BB" w:rsidRPr="003B54BB" w:rsidRDefault="003B54BB" w:rsidP="006C3173">
      <w:pPr>
        <w:pStyle w:val="FootnoteRM"/>
        <w:rPr>
          <w:lang w:val="sk-SK"/>
        </w:rPr>
      </w:pPr>
      <w:r w:rsidRPr="003B54BB">
        <w:rPr>
          <w:rStyle w:val="FootnoteReference"/>
        </w:rPr>
        <w:footnoteRef/>
      </w:r>
      <w:r w:rsidRPr="003B54BB">
        <w:t xml:space="preserve"> </w:t>
      </w:r>
      <w:r w:rsidRPr="003B54BB">
        <w:tab/>
        <w:t xml:space="preserve">The final report is available at this link (in Slovak only): </w:t>
      </w:r>
      <w:hyperlink r:id="rId18" w:history="1">
        <w:r w:rsidRPr="003B54BB">
          <w:rPr>
            <w:rStyle w:val="Hyperlink"/>
          </w:rPr>
          <w:t>http://nrozp.sk/index.php/projekty-nrozp/37-aktualne-projekty/270-vystupy</w:t>
        </w:r>
      </w:hyperlink>
      <w:r w:rsidRPr="003B54BB">
        <w:t>.</w:t>
      </w:r>
    </w:p>
  </w:footnote>
  <w:footnote w:id="36">
    <w:p w14:paraId="7A1481B6" w14:textId="5307B46D" w:rsidR="003B54BB" w:rsidRPr="003B54BB" w:rsidRDefault="003B54BB" w:rsidP="006C3173">
      <w:pPr>
        <w:pStyle w:val="FootnoteText"/>
        <w:spacing w:after="0"/>
        <w:ind w:left="284" w:hanging="284"/>
        <w:rPr>
          <w:lang w:val="sk-SK"/>
        </w:rPr>
      </w:pPr>
      <w:r w:rsidRPr="003B54BB">
        <w:rPr>
          <w:rStyle w:val="FootnoteReference"/>
        </w:rPr>
        <w:footnoteRef/>
      </w:r>
      <w:r w:rsidR="006C3173">
        <w:rPr>
          <w:lang w:val="sk-SK"/>
        </w:rPr>
        <w:tab/>
      </w:r>
      <w:r w:rsidRPr="003B54BB">
        <w:rPr>
          <w:lang w:val="sk-SK"/>
        </w:rPr>
        <w:t xml:space="preserve">Source: </w:t>
      </w:r>
      <w:r w:rsidRPr="003B54BB">
        <w:rPr>
          <w:color w:val="000000" w:themeColor="text1"/>
        </w:rPr>
        <w:t xml:space="preserve">Zoznam chránených dielní a chránených pracovísk [List of sheltered workshops and sheltered workplaces]. (2016). Bratislava: ÚPSVR. Accessed: 10.3.2017. Available at: </w:t>
      </w:r>
      <w:hyperlink r:id="rId19" w:history="1">
        <w:r w:rsidR="006C3173" w:rsidRPr="00B37EE6">
          <w:rPr>
            <w:rStyle w:val="Hyperlink"/>
          </w:rPr>
          <w:t>http://www.upsvar.sk/bb/aktualne-oznamy-1/zoznam-chranenych-dielni-a-chranenych-pracovisk.html?page_id=571195</w:t>
        </w:r>
      </w:hyperlink>
      <w:r w:rsidR="006C3173">
        <w:t>.</w:t>
      </w:r>
      <w:r w:rsidR="006C3173">
        <w:rPr>
          <w:color w:val="000000" w:themeColor="text1"/>
        </w:rPr>
        <w:t xml:space="preserve"> </w:t>
      </w:r>
    </w:p>
  </w:footnote>
  <w:footnote w:id="37">
    <w:p w14:paraId="0B23628B" w14:textId="6A39F847" w:rsidR="003B54BB" w:rsidRPr="003B54BB" w:rsidRDefault="003B54BB" w:rsidP="003B54BB">
      <w:pPr>
        <w:pStyle w:val="FootnoteRM"/>
        <w:rPr>
          <w:lang w:val="sk-SK"/>
        </w:rPr>
      </w:pPr>
      <w:r w:rsidRPr="003B54BB">
        <w:rPr>
          <w:rStyle w:val="FootnoteReference"/>
        </w:rPr>
        <w:footnoteRef/>
      </w:r>
      <w:r w:rsidRPr="003B54BB">
        <w:rPr>
          <w:lang w:val="nl-NL"/>
        </w:rPr>
        <w:t xml:space="preserve"> </w:t>
      </w:r>
      <w:r w:rsidRPr="003B54BB">
        <w:rPr>
          <w:lang w:val="nl-NL"/>
        </w:rPr>
        <w:tab/>
      </w:r>
      <w:hyperlink r:id="rId20" w:history="1">
        <w:r w:rsidRPr="003B54BB">
          <w:rPr>
            <w:rStyle w:val="Hyperlink"/>
            <w:lang w:val="nl-NL"/>
          </w:rPr>
          <w:t>http://sku.sk/stanovisko-slovenskej-komory-ucitelov-inkluzii-slovensku/</w:t>
        </w:r>
      </w:hyperlink>
      <w:r w:rsidRPr="003B54BB">
        <w:rPr>
          <w:lang w:val="nl-NL"/>
        </w:rPr>
        <w:t>.</w:t>
      </w:r>
    </w:p>
  </w:footnote>
  <w:footnote w:id="38">
    <w:p w14:paraId="647D8861" w14:textId="5BD8DCF4"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Štatistická ročenka školstva. </w:t>
      </w:r>
      <w:r w:rsidRPr="003B54BB">
        <w:rPr>
          <w:lang w:val="en-US"/>
        </w:rPr>
        <w:t>[</w:t>
      </w:r>
      <w:r w:rsidRPr="003B54BB">
        <w:rPr>
          <w:lang w:val="sk-SK"/>
        </w:rPr>
        <w:t xml:space="preserve">Statistical Yearbook of Education]. </w:t>
      </w:r>
      <w:hyperlink r:id="rId21" w:history="1">
        <w:r w:rsidRPr="003B54BB">
          <w:t>The Slovak Centre of Scientific and Technical Information</w:t>
        </w:r>
      </w:hyperlink>
      <w:r w:rsidRPr="003B54BB">
        <w:rPr>
          <w:lang w:val="en-US"/>
        </w:rPr>
        <w:t>.</w:t>
      </w:r>
      <w:r w:rsidRPr="003B54BB">
        <w:rPr>
          <w:color w:val="465659"/>
          <w:lang w:val="en-US"/>
        </w:rPr>
        <w:t xml:space="preserve"> </w:t>
      </w:r>
      <w:r w:rsidRPr="003B54BB">
        <w:rPr>
          <w:lang w:val="sk-SK"/>
        </w:rPr>
        <w:t xml:space="preserve">Available at: </w:t>
      </w:r>
      <w:hyperlink r:id="rId22" w:history="1">
        <w:r w:rsidRPr="003B54BB">
          <w:rPr>
            <w:rStyle w:val="Hyperlink"/>
            <w:lang w:val="sk-SK"/>
          </w:rPr>
          <w:t>http://www.cvtisr.sk/cvti-sr-vedecka-kniznica/informacie-o-skolstve/statistiky/statisticka-rocenka-publikacia.html?page_id=9580</w:t>
        </w:r>
      </w:hyperlink>
      <w:r w:rsidRPr="003B54BB">
        <w:rPr>
          <w:lang w:val="sk-SK"/>
        </w:rPr>
        <w:t>.</w:t>
      </w:r>
    </w:p>
  </w:footnote>
  <w:footnote w:id="39">
    <w:p w14:paraId="79580242" w14:textId="299D8EB9" w:rsidR="003B54BB" w:rsidRPr="003B54BB" w:rsidRDefault="003B54BB" w:rsidP="006C3173">
      <w:pPr>
        <w:pStyle w:val="FootnoteRM"/>
        <w:rPr>
          <w:lang w:val="sk-SK"/>
        </w:rPr>
      </w:pPr>
      <w:r w:rsidRPr="003B54BB">
        <w:rPr>
          <w:rStyle w:val="FootnoteReference"/>
        </w:rPr>
        <w:footnoteRef/>
      </w:r>
      <w:r w:rsidRPr="003B54BB">
        <w:t xml:space="preserve"> </w:t>
      </w:r>
      <w:r w:rsidRPr="003B54BB">
        <w:tab/>
        <w:t>M</w:t>
      </w:r>
      <w:r w:rsidRPr="003B54BB">
        <w:rPr>
          <w:lang w:val="sk-SK"/>
        </w:rPr>
        <w:t xml:space="preserve">ěchura, M: Financovanie asistentov učiteľa </w:t>
      </w:r>
      <w:r w:rsidRPr="003B54BB">
        <w:rPr>
          <w:lang w:val="en-US"/>
        </w:rPr>
        <w:t>[</w:t>
      </w:r>
      <w:r w:rsidRPr="003B54BB">
        <w:t>Teacher</w:t>
      </w:r>
      <w:r w:rsidRPr="003B54BB">
        <w:rPr>
          <w:lang w:val="en-US"/>
        </w:rPr>
        <w:t>’s Assistant Financing]. In: Mosty inkl</w:t>
      </w:r>
      <w:r w:rsidRPr="003B54BB">
        <w:rPr>
          <w:lang w:val="sk-SK"/>
        </w:rPr>
        <w:t>ú</w:t>
      </w:r>
      <w:r w:rsidRPr="003B54BB">
        <w:rPr>
          <w:lang w:val="en-US"/>
        </w:rPr>
        <w:t xml:space="preserve">zie 2017, Nr. 2, pp. 17-18. [online]. </w:t>
      </w:r>
      <w:r w:rsidRPr="003B54BB">
        <w:t xml:space="preserve">Available at: </w:t>
      </w:r>
      <w:hyperlink r:id="rId23" w:history="1">
        <w:r w:rsidRPr="003B54BB">
          <w:rPr>
            <w:rStyle w:val="Hyperlink"/>
          </w:rPr>
          <w:t>http://nrozp-mosty.sk/images/02-2017/Mosty_inkluzie_august_fin.pdf</w:t>
        </w:r>
      </w:hyperlink>
      <w:r w:rsidRPr="003B54BB">
        <w:t xml:space="preserve">. </w:t>
      </w:r>
    </w:p>
  </w:footnote>
  <w:footnote w:id="40">
    <w:p w14:paraId="5A13A0E3" w14:textId="77777777" w:rsidR="003B54BB" w:rsidRPr="003B54BB" w:rsidRDefault="003B54BB" w:rsidP="006C3173">
      <w:pPr>
        <w:pStyle w:val="FootnoteRM"/>
        <w:rPr>
          <w:lang w:val="sk-SK"/>
        </w:rPr>
      </w:pPr>
      <w:r w:rsidRPr="003B54BB">
        <w:rPr>
          <w:rStyle w:val="FootnoteReference"/>
        </w:rPr>
        <w:footnoteRef/>
      </w:r>
      <w:r w:rsidRPr="003B54BB">
        <w:rPr>
          <w:lang w:val="sk-SK"/>
        </w:rPr>
        <w:t xml:space="preserve"> </w:t>
      </w:r>
      <w:r w:rsidRPr="003B54BB">
        <w:rPr>
          <w:lang w:val="sk-SK"/>
        </w:rPr>
        <w:tab/>
      </w:r>
      <w:hyperlink r:id="rId24" w:history="1">
        <w:r w:rsidRPr="003B54BB">
          <w:rPr>
            <w:rStyle w:val="Hyperlink"/>
            <w:lang w:val="sk-SK"/>
          </w:rPr>
          <w:t>https://www.minedu.sk/rozsirovanie-a-udrzanie-kapacit-materskych-skol/</w:t>
        </w:r>
      </w:hyperlink>
      <w:r w:rsidRPr="003B54BB">
        <w:rPr>
          <w:lang w:val="sk-SK"/>
        </w:rPr>
        <w:t>.</w:t>
      </w:r>
    </w:p>
  </w:footnote>
  <w:footnote w:id="41">
    <w:p w14:paraId="586F0A77" w14:textId="585472DF" w:rsidR="003B54BB" w:rsidRPr="003B54BB" w:rsidRDefault="003B54BB" w:rsidP="006C3173">
      <w:pPr>
        <w:pStyle w:val="FootnoteText"/>
        <w:spacing w:after="0"/>
        <w:ind w:left="284" w:hanging="284"/>
      </w:pPr>
      <w:r w:rsidRPr="003B54BB">
        <w:rPr>
          <w:rStyle w:val="FootnoteReference"/>
        </w:rPr>
        <w:footnoteRef/>
      </w:r>
      <w:r w:rsidR="006C3173">
        <w:tab/>
      </w:r>
      <w:proofErr w:type="spellStart"/>
      <w:r w:rsidRPr="003B54BB">
        <w:t>Štatistická</w:t>
      </w:r>
      <w:proofErr w:type="spellEnd"/>
      <w:r w:rsidRPr="003B54BB">
        <w:t xml:space="preserve"> </w:t>
      </w:r>
      <w:proofErr w:type="spellStart"/>
      <w:r w:rsidRPr="003B54BB">
        <w:t>ročenka</w:t>
      </w:r>
      <w:proofErr w:type="spellEnd"/>
      <w:r w:rsidRPr="003B54BB">
        <w:t xml:space="preserve"> – </w:t>
      </w:r>
      <w:proofErr w:type="spellStart"/>
      <w:r w:rsidRPr="003B54BB">
        <w:t>špeci</w:t>
      </w:r>
      <w:proofErr w:type="spellEnd"/>
      <w:r w:rsidRPr="003B54BB">
        <w:rPr>
          <w:lang w:val="sk-SK"/>
        </w:rPr>
        <w:t>álne školy</w:t>
      </w:r>
      <w:r w:rsidRPr="003B54BB">
        <w:t xml:space="preserve">. </w:t>
      </w:r>
      <w:r w:rsidRPr="003B54BB">
        <w:rPr>
          <w:lang w:val="en-US"/>
        </w:rPr>
        <w:t>[</w:t>
      </w:r>
      <w:r w:rsidRPr="003B54BB">
        <w:rPr>
          <w:lang w:val="sk-SK"/>
        </w:rPr>
        <w:t xml:space="preserve">Statistical Yearbook – Special Schools]. </w:t>
      </w:r>
      <w:hyperlink r:id="rId25" w:history="1">
        <w:r w:rsidRPr="003B54BB">
          <w:t>The Slovak Centre of Scientific and Technical Information</w:t>
        </w:r>
      </w:hyperlink>
      <w:r w:rsidRPr="003B54BB">
        <w:rPr>
          <w:lang w:val="en-US"/>
        </w:rPr>
        <w:t>.</w:t>
      </w:r>
      <w:r w:rsidRPr="003B54BB">
        <w:rPr>
          <w:color w:val="465659"/>
          <w:lang w:val="en-US"/>
        </w:rPr>
        <w:t xml:space="preserve"> </w:t>
      </w:r>
      <w:r w:rsidRPr="003B54BB">
        <w:rPr>
          <w:lang w:val="sk-SK"/>
        </w:rPr>
        <w:t xml:space="preserve">Available at: </w:t>
      </w:r>
      <w:hyperlink r:id="rId26" w:history="1">
        <w:r w:rsidR="006C3173" w:rsidRPr="00B37EE6">
          <w:rPr>
            <w:rStyle w:val="Hyperlink"/>
            <w:lang w:val="sk-SK"/>
          </w:rPr>
          <w:t>http://www.cvtisr.sk/cvti-sr-vedecka-kniznica/informacie-o-skolstve/statistiky/statisticka-rocenka-publikacia/statisticka-rocenka-specialne-skoly.html?page_id=9600</w:t>
        </w:r>
      </w:hyperlink>
      <w:r w:rsidR="006C3173">
        <w:rPr>
          <w:lang w:val="sk-SK"/>
        </w:rPr>
        <w:t xml:space="preserve">. </w:t>
      </w:r>
    </w:p>
  </w:footnote>
  <w:footnote w:id="42">
    <w:p w14:paraId="060EEE59" w14:textId="1E859EEE"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State Educational Programme for Pre-primary Education. </w:t>
      </w:r>
      <w:hyperlink r:id="rId27" w:history="1">
        <w:r w:rsidRPr="003B54BB">
          <w:t>The National Institute for Education</w:t>
        </w:r>
      </w:hyperlink>
      <w:r w:rsidRPr="003B54BB">
        <w:t xml:space="preserve">, Ministry of Education, Science, Research and Sport. Bratislava 2016. Available at: </w:t>
      </w:r>
      <w:hyperlink r:id="rId28" w:history="1">
        <w:r w:rsidRPr="003B54BB">
          <w:rPr>
            <w:rStyle w:val="Hyperlink"/>
          </w:rPr>
          <w:t>http://www.statpedu.sk/files/articles/nove_dokumenty/statny-vzdelavaci-program/svp_materske_skoly_2016-17780_27322_1-10a0_6jul2016.pdf</w:t>
        </w:r>
      </w:hyperlink>
      <w:r w:rsidRPr="003B54BB">
        <w:t xml:space="preserve">. </w:t>
      </w:r>
    </w:p>
  </w:footnote>
  <w:footnote w:id="43">
    <w:p w14:paraId="05DA897A" w14:textId="5DFF7A2C"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State Educational Programme for Children with Disabilities in Pre-primary Education. </w:t>
      </w:r>
      <w:hyperlink r:id="rId29" w:history="1">
        <w:r w:rsidRPr="003B54BB">
          <w:t>The National Institute for Education</w:t>
        </w:r>
      </w:hyperlink>
      <w:r w:rsidRPr="003B54BB">
        <w:t xml:space="preserve">, Ministry of Education, Science, Research and Sport. May 2017. Available at: </w:t>
      </w:r>
      <w:hyperlink r:id="rId30" w:history="1">
        <w:r w:rsidRPr="003B54BB">
          <w:rPr>
            <w:rStyle w:val="Hyperlink"/>
          </w:rPr>
          <w:t>http://www.statpedu.sk/files/sk/deti-ziaci-so-svvp/deti-ziaci-so-zdravotnym-znevyhodnenim-vseobecnym-intelektovym-nadanim/vzdelavacie-programy/vp-deti-so-zz-schvalene-maj-2017.pdf</w:t>
        </w:r>
      </w:hyperlink>
      <w:r w:rsidRPr="003B54BB">
        <w:t xml:space="preserve">. </w:t>
      </w:r>
    </w:p>
  </w:footnote>
  <w:footnote w:id="44">
    <w:p w14:paraId="2BD8C931" w14:textId="4FD91BEE" w:rsidR="003B54BB" w:rsidRPr="003B54BB" w:rsidRDefault="003B54BB" w:rsidP="003B54BB">
      <w:pPr>
        <w:pStyle w:val="FootnoteRM"/>
        <w:rPr>
          <w:lang w:val="sk-SK"/>
        </w:rPr>
      </w:pPr>
      <w:r w:rsidRPr="003B54BB">
        <w:rPr>
          <w:rStyle w:val="FootnoteReference"/>
        </w:rPr>
        <w:footnoteRef/>
      </w:r>
      <w:r w:rsidRPr="003B54BB">
        <w:rPr>
          <w:lang w:val="sk-SK"/>
        </w:rPr>
        <w:t xml:space="preserve"> </w:t>
      </w:r>
      <w:r w:rsidRPr="003B54BB">
        <w:rPr>
          <w:lang w:val="sk-SK"/>
        </w:rPr>
        <w:tab/>
      </w:r>
      <w:hyperlink r:id="rId31" w:history="1">
        <w:r w:rsidRPr="003B54BB">
          <w:rPr>
            <w:rStyle w:val="Hyperlink"/>
            <w:lang w:val="sk-SK"/>
          </w:rPr>
          <w:t>http://skolskyservis.teraz.sk/skolstvo/odborne-organizacie-ziadaju-zrusit/36173-clanok.html</w:t>
        </w:r>
      </w:hyperlink>
      <w:r w:rsidRPr="003B54BB">
        <w:rPr>
          <w:lang w:val="sk-SK"/>
        </w:rPr>
        <w:t xml:space="preserve">. </w:t>
      </w:r>
    </w:p>
  </w:footnote>
  <w:footnote w:id="45">
    <w:p w14:paraId="0E84EE0A" w14:textId="56856F87" w:rsidR="003B54BB" w:rsidRPr="003B54BB" w:rsidRDefault="003B54BB" w:rsidP="003B54BB">
      <w:pPr>
        <w:pStyle w:val="FootnoteRM"/>
        <w:rPr>
          <w:lang w:val="sk-SK"/>
        </w:rPr>
      </w:pPr>
      <w:r w:rsidRPr="003B54BB">
        <w:rPr>
          <w:rStyle w:val="FootnoteReference"/>
        </w:rPr>
        <w:footnoteRef/>
      </w:r>
      <w:r w:rsidRPr="003B54BB">
        <w:rPr>
          <w:lang w:val="sk-SK"/>
        </w:rPr>
        <w:t xml:space="preserve"> </w:t>
      </w:r>
      <w:r w:rsidRPr="003B54BB">
        <w:rPr>
          <w:lang w:val="sk-SK"/>
        </w:rPr>
        <w:tab/>
      </w:r>
      <w:hyperlink r:id="rId32" w:history="1">
        <w:r w:rsidRPr="003B54BB">
          <w:rPr>
            <w:rStyle w:val="Hyperlink"/>
            <w:lang w:val="sk-SK"/>
          </w:rPr>
          <w:t>https://ec.europa.eu/info/sites/info/files/2017-european-semester-national-reform-programme-slovakia-sk.pdf</w:t>
        </w:r>
      </w:hyperlink>
      <w:r w:rsidRPr="003B54BB">
        <w:rPr>
          <w:lang w:val="sk-SK"/>
        </w:rPr>
        <w:t xml:space="preserve">. </w:t>
      </w:r>
    </w:p>
  </w:footnote>
  <w:footnote w:id="46">
    <w:p w14:paraId="19B10833" w14:textId="51652C45" w:rsidR="003B54BB" w:rsidRPr="003B54BB" w:rsidRDefault="003B54BB" w:rsidP="006C3173">
      <w:pPr>
        <w:pStyle w:val="FootnoteText"/>
        <w:spacing w:after="0"/>
        <w:ind w:left="284" w:hanging="284"/>
        <w:rPr>
          <w:lang w:val="en-US"/>
        </w:rPr>
      </w:pPr>
      <w:r w:rsidRPr="003B54BB">
        <w:rPr>
          <w:rStyle w:val="FootnoteReference"/>
        </w:rPr>
        <w:footnoteRef/>
      </w:r>
      <w:r w:rsidR="006C3173">
        <w:tab/>
      </w:r>
      <w:proofErr w:type="spellStart"/>
      <w:r w:rsidRPr="003B54BB">
        <w:t>Štatistická</w:t>
      </w:r>
      <w:proofErr w:type="spellEnd"/>
      <w:r w:rsidRPr="003B54BB">
        <w:t xml:space="preserve"> </w:t>
      </w:r>
      <w:proofErr w:type="spellStart"/>
      <w:r w:rsidRPr="003B54BB">
        <w:t>ročenka</w:t>
      </w:r>
      <w:proofErr w:type="spellEnd"/>
      <w:r w:rsidRPr="003B54BB">
        <w:t xml:space="preserve"> – </w:t>
      </w:r>
      <w:proofErr w:type="spellStart"/>
      <w:r w:rsidRPr="003B54BB">
        <w:t>špeci</w:t>
      </w:r>
      <w:proofErr w:type="spellEnd"/>
      <w:r w:rsidRPr="003B54BB">
        <w:rPr>
          <w:lang w:val="sk-SK"/>
        </w:rPr>
        <w:t>álne školy</w:t>
      </w:r>
      <w:r w:rsidRPr="003B54BB">
        <w:t xml:space="preserve">. </w:t>
      </w:r>
      <w:r w:rsidRPr="003B54BB">
        <w:rPr>
          <w:lang w:val="en-US"/>
        </w:rPr>
        <w:t>[</w:t>
      </w:r>
      <w:r w:rsidRPr="003B54BB">
        <w:rPr>
          <w:lang w:val="sk-SK"/>
        </w:rPr>
        <w:t xml:space="preserve">Statistical Yearbook – Special Schools]. </w:t>
      </w:r>
      <w:hyperlink r:id="rId33" w:history="1">
        <w:r w:rsidRPr="003B54BB">
          <w:t>The Slovak Centre of Scientific and Technical Information</w:t>
        </w:r>
      </w:hyperlink>
      <w:r w:rsidRPr="003B54BB">
        <w:rPr>
          <w:lang w:val="en-US"/>
        </w:rPr>
        <w:t>.</w:t>
      </w:r>
      <w:r w:rsidRPr="003B54BB">
        <w:rPr>
          <w:color w:val="465659"/>
          <w:lang w:val="en-US"/>
        </w:rPr>
        <w:t xml:space="preserve"> </w:t>
      </w:r>
      <w:r w:rsidRPr="003B54BB">
        <w:rPr>
          <w:lang w:val="sk-SK"/>
        </w:rPr>
        <w:t xml:space="preserve">Available at: </w:t>
      </w:r>
      <w:hyperlink r:id="rId34" w:history="1">
        <w:r w:rsidR="006C3173" w:rsidRPr="00B37EE6">
          <w:rPr>
            <w:rStyle w:val="Hyperlink"/>
            <w:lang w:val="sk-SK"/>
          </w:rPr>
          <w:t>http://www.cvtisr.sk/cvti-sr-vedecka-kniznica/informacie-o-skolstve/statistiky/statisticka-rocenka-publikacia/statisticka-rocenka-specialne-skoly.html?page_id=9600</w:t>
        </w:r>
      </w:hyperlink>
      <w:r w:rsidR="006C3173">
        <w:rPr>
          <w:lang w:val="sk-SK"/>
        </w:rPr>
        <w:t xml:space="preserve">. </w:t>
      </w:r>
    </w:p>
  </w:footnote>
  <w:footnote w:id="47">
    <w:p w14:paraId="352124C0" w14:textId="629F36D7" w:rsidR="003B54BB" w:rsidRPr="003B54BB" w:rsidRDefault="003B54BB" w:rsidP="006C3173">
      <w:pPr>
        <w:pStyle w:val="FootnoteRM"/>
        <w:rPr>
          <w:lang w:val="sk-SK"/>
        </w:rPr>
      </w:pPr>
      <w:r w:rsidRPr="003B54BB">
        <w:rPr>
          <w:rStyle w:val="FootnoteReference"/>
        </w:rPr>
        <w:footnoteRef/>
      </w:r>
      <w:r w:rsidR="006C3173">
        <w:tab/>
      </w:r>
      <w:r w:rsidRPr="003B54BB">
        <w:t>Such as staff training or teacher assistant for a child with disabilities.</w:t>
      </w:r>
    </w:p>
  </w:footnote>
  <w:footnote w:id="48">
    <w:p w14:paraId="538BA940" w14:textId="1F7A88D4"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 xml:space="preserve">The Central register of social services´ providers. Available at: </w:t>
      </w:r>
      <w:r w:rsidRPr="003B54BB">
        <w:rPr>
          <w:rStyle w:val="Hyperlink"/>
          <w:lang w:val="sk-SK"/>
        </w:rPr>
        <w:fldChar w:fldCharType="begin"/>
      </w:r>
      <w:r w:rsidRPr="003B54BB">
        <w:rPr>
          <w:rStyle w:val="Hyperlink"/>
          <w:lang w:val="sk-SK"/>
        </w:rPr>
        <w:instrText xml:space="preserve"> HYPERLINK "https://www.employment.gov.sk/sk/centralny-register-poskytovatelov-socialnych-sluzieb/" </w:instrText>
      </w:r>
      <w:r w:rsidRPr="003B54BB">
        <w:rPr>
          <w:rStyle w:val="Hyperlink"/>
          <w:lang w:val="sk-SK"/>
        </w:rPr>
        <w:fldChar w:fldCharType="separate"/>
      </w:r>
      <w:r w:rsidRPr="003B54BB">
        <w:rPr>
          <w:rStyle w:val="Hyperlink"/>
          <w:lang w:val="sk-SK"/>
        </w:rPr>
        <w:t>https://www.employment.gov.sk/sk/centralny-register-poskytovatelov-socialnych-sluzieb/</w:t>
      </w:r>
      <w:r w:rsidRPr="003B54BB">
        <w:rPr>
          <w:rStyle w:val="Hyperlink"/>
          <w:lang w:val="sk-SK"/>
        </w:rPr>
        <w:fldChar w:fldCharType="end"/>
      </w:r>
      <w:r w:rsidRPr="003B54BB">
        <w:rPr>
          <w:lang w:val="sk-SK"/>
        </w:rPr>
        <w:t xml:space="preserve">. </w:t>
      </w:r>
    </w:p>
  </w:footnote>
  <w:footnote w:id="49">
    <w:p w14:paraId="7F59F1F3" w14:textId="36875A3A" w:rsidR="003B54BB" w:rsidRPr="006C3173" w:rsidRDefault="003B54BB" w:rsidP="006C3173">
      <w:pPr>
        <w:spacing w:after="0"/>
        <w:ind w:left="284" w:hanging="284"/>
        <w:rPr>
          <w:sz w:val="20"/>
          <w:szCs w:val="20"/>
        </w:rPr>
      </w:pPr>
      <w:r w:rsidRPr="003B54BB">
        <w:rPr>
          <w:rStyle w:val="FootnoteReference"/>
          <w:sz w:val="20"/>
          <w:szCs w:val="20"/>
        </w:rPr>
        <w:footnoteRef/>
      </w:r>
      <w:r w:rsidRPr="003B54BB">
        <w:rPr>
          <w:sz w:val="20"/>
          <w:szCs w:val="20"/>
        </w:rPr>
        <w:t xml:space="preserve"> </w:t>
      </w:r>
      <w:r w:rsidR="006C3173">
        <w:rPr>
          <w:sz w:val="20"/>
          <w:szCs w:val="20"/>
        </w:rPr>
        <w:tab/>
      </w:r>
      <w:r w:rsidRPr="003B54BB">
        <w:rPr>
          <w:i/>
          <w:sz w:val="20"/>
          <w:szCs w:val="20"/>
        </w:rPr>
        <w:t>Concluding observations on the initial report of Slovakia</w:t>
      </w:r>
      <w:r w:rsidRPr="003B54BB">
        <w:rPr>
          <w:sz w:val="20"/>
          <w:szCs w:val="20"/>
        </w:rPr>
        <w:t xml:space="preserve">. UN Committee on the Rights of Persons with Disabilities, 17 </w:t>
      </w:r>
      <w:proofErr w:type="gramStart"/>
      <w:r w:rsidRPr="003B54BB">
        <w:rPr>
          <w:sz w:val="20"/>
          <w:szCs w:val="20"/>
        </w:rPr>
        <w:t>May,</w:t>
      </w:r>
      <w:proofErr w:type="gramEnd"/>
      <w:r w:rsidRPr="003B54BB">
        <w:rPr>
          <w:sz w:val="20"/>
          <w:szCs w:val="20"/>
        </w:rPr>
        <w:t xml:space="preserve"> 2016. Available at: </w:t>
      </w:r>
      <w:hyperlink r:id="rId35" w:history="1">
        <w:r w:rsidRPr="003B54BB">
          <w:rPr>
            <w:rStyle w:val="Hyperlink"/>
            <w:sz w:val="20"/>
            <w:szCs w:val="20"/>
          </w:rPr>
          <w:t>http://tbinternet.ohchr.org/_layouts/treatybodyexternal/Download.aspx?symbolno=CRPD%2fC%2fSVK%2fCO%2f1&amp;Lang=en</w:t>
        </w:r>
      </w:hyperlink>
      <w:r w:rsidR="006C3173">
        <w:rPr>
          <w:rStyle w:val="Hyperlink"/>
          <w:color w:val="auto"/>
          <w:sz w:val="20"/>
          <w:szCs w:val="20"/>
          <w:u w:val="none"/>
        </w:rPr>
        <w:t>.</w:t>
      </w:r>
      <w:r w:rsidRPr="003B54BB">
        <w:rPr>
          <w:sz w:val="20"/>
          <w:szCs w:val="20"/>
        </w:rPr>
        <w:t xml:space="preserve"> </w:t>
      </w:r>
    </w:p>
  </w:footnote>
  <w:footnote w:id="50">
    <w:p w14:paraId="2BFC7E80" w14:textId="4311975D" w:rsidR="003B54BB" w:rsidRPr="003B54BB" w:rsidRDefault="003B54BB" w:rsidP="006C3173">
      <w:pPr>
        <w:pStyle w:val="FootnoteText"/>
        <w:spacing w:after="0"/>
        <w:ind w:left="284" w:hanging="284"/>
        <w:rPr>
          <w:lang w:val="sk-SK"/>
        </w:rPr>
      </w:pPr>
      <w:r w:rsidRPr="003B54BB">
        <w:rPr>
          <w:rStyle w:val="FootnoteReference"/>
        </w:rPr>
        <w:footnoteRef/>
      </w:r>
      <w:r w:rsidR="006C3173">
        <w:tab/>
      </w:r>
      <w:r w:rsidRPr="003B54BB">
        <w:rPr>
          <w:lang w:val="sk-SK"/>
        </w:rPr>
        <w:t xml:space="preserve">Available at: </w:t>
      </w:r>
      <w:r w:rsidR="006C3173">
        <w:rPr>
          <w:lang w:val="sk-SK"/>
        </w:rPr>
        <w:fldChar w:fldCharType="begin"/>
      </w:r>
      <w:r w:rsidR="006C3173">
        <w:rPr>
          <w:lang w:val="sk-SK"/>
        </w:rPr>
        <w:instrText xml:space="preserve"> HYPERLINK "</w:instrText>
      </w:r>
      <w:r w:rsidR="006C3173" w:rsidRPr="003B54BB">
        <w:rPr>
          <w:lang w:val="sk-SK"/>
        </w:rPr>
        <w:instrText>http://www.mpsr.sk/sk/index.php?navID=1124&amp;navID2=1124&amp;sID=67&amp;id=11593</w:instrText>
      </w:r>
      <w:r w:rsidR="006C3173">
        <w:rPr>
          <w:lang w:val="sk-SK"/>
        </w:rPr>
        <w:instrText xml:space="preserve">" </w:instrText>
      </w:r>
      <w:r w:rsidR="006C3173">
        <w:rPr>
          <w:lang w:val="sk-SK"/>
        </w:rPr>
        <w:fldChar w:fldCharType="separate"/>
      </w:r>
      <w:r w:rsidR="006C3173" w:rsidRPr="00B37EE6">
        <w:rPr>
          <w:rStyle w:val="Hyperlink"/>
          <w:lang w:val="sk-SK"/>
        </w:rPr>
        <w:t>http://www.mpsr.sk/sk/index.php?navID=1124&amp;navID2=1124&amp;sID=67&amp;id=11593</w:t>
      </w:r>
      <w:r w:rsidR="006C3173">
        <w:rPr>
          <w:lang w:val="sk-SK"/>
        </w:rPr>
        <w:fldChar w:fldCharType="end"/>
      </w:r>
      <w:r w:rsidR="006C3173">
        <w:rPr>
          <w:lang w:val="sk-SK"/>
        </w:rPr>
        <w:t xml:space="preserve">. </w:t>
      </w:r>
    </w:p>
  </w:footnote>
  <w:footnote w:id="51">
    <w:p w14:paraId="7A783A6C" w14:textId="2E23FDCA" w:rsidR="003B54BB" w:rsidRPr="003B54BB" w:rsidRDefault="003B54BB" w:rsidP="006C3173">
      <w:pPr>
        <w:pStyle w:val="NormalWeb"/>
        <w:spacing w:after="0"/>
        <w:ind w:left="284" w:hanging="284"/>
        <w:rPr>
          <w:rFonts w:eastAsia="Times New Roman" w:cs="Arial"/>
          <w:color w:val="000000"/>
          <w:sz w:val="20"/>
          <w:szCs w:val="20"/>
          <w:lang w:val="sk-SK" w:eastAsia="sk-SK"/>
        </w:rPr>
      </w:pPr>
      <w:r w:rsidRPr="003B54BB">
        <w:rPr>
          <w:rStyle w:val="FootnoteReference"/>
          <w:rFonts w:cs="Arial"/>
          <w:sz w:val="20"/>
          <w:szCs w:val="20"/>
        </w:rPr>
        <w:footnoteRef/>
      </w:r>
      <w:r w:rsidRPr="003B54BB">
        <w:rPr>
          <w:rFonts w:cs="Arial"/>
          <w:sz w:val="20"/>
          <w:szCs w:val="20"/>
        </w:rPr>
        <w:t xml:space="preserve"> </w:t>
      </w:r>
      <w:r w:rsidR="006C3173">
        <w:rPr>
          <w:rFonts w:cs="Arial"/>
          <w:sz w:val="20"/>
          <w:szCs w:val="20"/>
        </w:rPr>
        <w:tab/>
      </w:r>
      <w:r w:rsidRPr="003B54BB">
        <w:rPr>
          <w:rFonts w:cs="Arial"/>
          <w:sz w:val="20"/>
          <w:szCs w:val="20"/>
        </w:rPr>
        <w:t xml:space="preserve">Detailed </w:t>
      </w:r>
      <w:proofErr w:type="spellStart"/>
      <w:r w:rsidRPr="003B54BB">
        <w:rPr>
          <w:rFonts w:cs="Arial"/>
          <w:sz w:val="20"/>
          <w:szCs w:val="20"/>
        </w:rPr>
        <w:t>i</w:t>
      </w:r>
      <w:proofErr w:type="spellEnd"/>
      <w:r w:rsidRPr="003B54BB">
        <w:rPr>
          <w:rFonts w:cs="Arial"/>
          <w:sz w:val="20"/>
          <w:szCs w:val="20"/>
          <w:lang w:val="sk-SK"/>
        </w:rPr>
        <w:t>nformation about fulfilling commitments of the DI Strategy in Slovakia in year 2017, including information about the planned national project focused on support of the DI teams, offers the document „</w:t>
      </w:r>
      <w:r w:rsidRPr="003B54BB">
        <w:rPr>
          <w:rFonts w:cs="Arial"/>
          <w:i/>
          <w:sz w:val="20"/>
          <w:szCs w:val="20"/>
          <w:lang w:val="sk-SK"/>
        </w:rPr>
        <w:t>Information on fulfilling provisions of the Strategy on deinstitutionalisation of social services system and foster care in Slovakia for the year 2017</w:t>
      </w:r>
      <w:r w:rsidRPr="003B54BB">
        <w:rPr>
          <w:rFonts w:cs="Arial"/>
          <w:sz w:val="20"/>
          <w:szCs w:val="20"/>
          <w:lang w:val="sk-SK"/>
        </w:rPr>
        <w:t>“ (</w:t>
      </w:r>
      <w:r w:rsidRPr="003B54BB">
        <w:rPr>
          <w:rFonts w:eastAsia="Times New Roman" w:cs="Arial"/>
          <w:bCs/>
          <w:color w:val="000000"/>
          <w:sz w:val="20"/>
          <w:szCs w:val="20"/>
          <w:lang w:val="sk-SK" w:eastAsia="sk-SK"/>
        </w:rPr>
        <w:t xml:space="preserve">Informácia o plnení opatrení Stratégie deinštitucionalizácie systému sociálnych služieb a náhradnej starostlivosti v Slovenskej republike za rok 2017). </w:t>
      </w:r>
      <w:r w:rsidRPr="003B54BB">
        <w:rPr>
          <w:rFonts w:eastAsia="Times New Roman" w:cs="Arial"/>
          <w:bCs/>
          <w:color w:val="000000"/>
          <w:sz w:val="20"/>
          <w:szCs w:val="20"/>
          <w:lang w:val="sk-SK" w:eastAsia="sk-SK"/>
        </w:rPr>
        <w:t xml:space="preserve">Available at: </w:t>
      </w:r>
      <w:r w:rsidR="006C3173">
        <w:rPr>
          <w:rFonts w:eastAsia="Times New Roman" w:cs="Arial"/>
          <w:bCs/>
          <w:color w:val="000000"/>
          <w:sz w:val="20"/>
          <w:szCs w:val="20"/>
          <w:lang w:val="sk-SK" w:eastAsia="sk-SK"/>
        </w:rPr>
        <w:fldChar w:fldCharType="begin"/>
      </w:r>
      <w:r w:rsidR="006C3173">
        <w:rPr>
          <w:rFonts w:eastAsia="Times New Roman" w:cs="Arial"/>
          <w:bCs/>
          <w:color w:val="000000"/>
          <w:sz w:val="20"/>
          <w:szCs w:val="20"/>
          <w:lang w:val="sk-SK" w:eastAsia="sk-SK"/>
        </w:rPr>
        <w:instrText xml:space="preserve"> HYPERLINK "</w:instrText>
      </w:r>
      <w:r w:rsidR="006C3173" w:rsidRPr="003B54BB">
        <w:rPr>
          <w:rFonts w:eastAsia="Times New Roman" w:cs="Arial"/>
          <w:bCs/>
          <w:color w:val="000000"/>
          <w:sz w:val="20"/>
          <w:szCs w:val="20"/>
          <w:lang w:val="sk-SK" w:eastAsia="sk-SK"/>
        </w:rPr>
        <w:instrText>http://www.rokovania.sk/File.aspx/ViewDocumentHtml/Mater-Dokum-214976?prefixFile=m_</w:instrText>
      </w:r>
      <w:r w:rsidR="006C3173">
        <w:rPr>
          <w:rFonts w:eastAsia="Times New Roman" w:cs="Arial"/>
          <w:bCs/>
          <w:color w:val="000000"/>
          <w:sz w:val="20"/>
          <w:szCs w:val="20"/>
          <w:lang w:val="sk-SK" w:eastAsia="sk-SK"/>
        </w:rPr>
        <w:instrText xml:space="preserve">" </w:instrText>
      </w:r>
      <w:r w:rsidR="006C3173">
        <w:rPr>
          <w:rFonts w:eastAsia="Times New Roman" w:cs="Arial"/>
          <w:bCs/>
          <w:color w:val="000000"/>
          <w:sz w:val="20"/>
          <w:szCs w:val="20"/>
          <w:lang w:val="sk-SK" w:eastAsia="sk-SK"/>
        </w:rPr>
        <w:fldChar w:fldCharType="separate"/>
      </w:r>
      <w:r w:rsidR="006C3173" w:rsidRPr="00B37EE6">
        <w:rPr>
          <w:rStyle w:val="Hyperlink"/>
          <w:rFonts w:eastAsia="Times New Roman" w:cs="Arial"/>
          <w:bCs/>
          <w:sz w:val="20"/>
          <w:szCs w:val="20"/>
          <w:lang w:val="sk-SK" w:eastAsia="sk-SK"/>
        </w:rPr>
        <w:t>http://www.rokovania.sk/File.aspx/ViewDocumentHtml/Mater-Dokum-214976?prefixFile=m_</w:t>
      </w:r>
      <w:r w:rsidR="006C3173">
        <w:rPr>
          <w:rFonts w:eastAsia="Times New Roman" w:cs="Arial"/>
          <w:bCs/>
          <w:color w:val="000000"/>
          <w:sz w:val="20"/>
          <w:szCs w:val="20"/>
          <w:lang w:val="sk-SK" w:eastAsia="sk-SK"/>
        </w:rPr>
        <w:fldChar w:fldCharType="end"/>
      </w:r>
      <w:r w:rsidR="006C3173">
        <w:rPr>
          <w:rFonts w:eastAsia="Times New Roman" w:cs="Arial"/>
          <w:bCs/>
          <w:sz w:val="20"/>
          <w:szCs w:val="20"/>
          <w:lang w:val="sk-SK" w:eastAsia="sk-SK"/>
        </w:rPr>
        <w:t>.</w:t>
      </w:r>
      <w:r w:rsidR="006C3173">
        <w:rPr>
          <w:rFonts w:eastAsia="Times New Roman" w:cs="Arial"/>
          <w:bCs/>
          <w:color w:val="000000"/>
          <w:sz w:val="20"/>
          <w:szCs w:val="20"/>
          <w:lang w:val="sk-SK" w:eastAsia="sk-SK"/>
        </w:rPr>
        <w:t xml:space="preserve"> </w:t>
      </w:r>
    </w:p>
  </w:footnote>
  <w:footnote w:id="52">
    <w:p w14:paraId="10CEF486" w14:textId="77777777" w:rsidR="003B54BB" w:rsidRPr="003B54BB" w:rsidRDefault="003B54BB" w:rsidP="006C3173">
      <w:pPr>
        <w:pStyle w:val="FootnoteRM"/>
        <w:rPr>
          <w:lang w:val="sk-SK"/>
        </w:rPr>
      </w:pPr>
      <w:r w:rsidRPr="003B54BB">
        <w:rPr>
          <w:rStyle w:val="FootnoteReference"/>
        </w:rPr>
        <w:footnoteRef/>
      </w:r>
      <w:r w:rsidRPr="003B54BB">
        <w:t xml:space="preserve"> </w:t>
      </w:r>
      <w:r w:rsidRPr="003B54BB">
        <w:tab/>
      </w:r>
      <w:r w:rsidRPr="003B54BB">
        <w:rPr>
          <w:lang w:val="sk-SK"/>
        </w:rPr>
        <w:t xml:space="preserve">Available at: </w:t>
      </w:r>
      <w:hyperlink r:id="rId36" w:history="1">
        <w:r w:rsidRPr="003B54BB">
          <w:rPr>
            <w:rStyle w:val="Hyperlink"/>
            <w:lang w:val="sk-SK"/>
          </w:rPr>
          <w:t>https://www.employment.gov.sk/files/slovensky/rodina-socialna-pomoc/socialne-sluzby/nprss-2015-2020.pdf</w:t>
        </w:r>
      </w:hyperlink>
      <w:r w:rsidRPr="003B54BB">
        <w:rPr>
          <w:lang w:val="sk-SK"/>
        </w:rPr>
        <w:t>.</w:t>
      </w:r>
    </w:p>
  </w:footnote>
  <w:footnote w:id="53">
    <w:p w14:paraId="2E160AC9" w14:textId="2DA5990F"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lang w:val="sk-SK"/>
        </w:rPr>
        <w:t>Available at:</w:t>
      </w:r>
      <w:r w:rsidRPr="003B54BB">
        <w:t xml:space="preserve"> </w:t>
      </w:r>
      <w:hyperlink r:id="rId37" w:history="1">
        <w:r w:rsidRPr="003B54BB">
          <w:rPr>
            <w:rStyle w:val="Hyperlink"/>
            <w:lang w:val="sk-SK"/>
          </w:rPr>
          <w:t>https://asociaciavi.sk/</w:t>
        </w:r>
      </w:hyperlink>
      <w:r w:rsidRPr="003B54BB">
        <w:rPr>
          <w:lang w:val="sk-SK"/>
        </w:rPr>
        <w:t xml:space="preserve">. </w:t>
      </w:r>
    </w:p>
  </w:footnote>
  <w:footnote w:id="54">
    <w:p w14:paraId="1EA88C8D" w14:textId="77777777" w:rsidR="003B54BB" w:rsidRPr="003B54BB" w:rsidRDefault="003B54BB" w:rsidP="003B54BB">
      <w:pPr>
        <w:pStyle w:val="FootnoteRM"/>
        <w:rPr>
          <w:lang w:val="sk-SK"/>
        </w:rPr>
      </w:pPr>
      <w:r w:rsidRPr="003B54BB">
        <w:rPr>
          <w:rStyle w:val="FootnoteReference"/>
        </w:rPr>
        <w:footnoteRef/>
      </w:r>
      <w:r w:rsidRPr="003B54BB">
        <w:rPr>
          <w:lang w:val="sk-SK"/>
        </w:rPr>
        <w:t xml:space="preserve"> </w:t>
      </w:r>
      <w:r w:rsidRPr="003B54BB">
        <w:rPr>
          <w:lang w:val="sk-SK"/>
        </w:rPr>
        <w:tab/>
      </w:r>
      <w:hyperlink r:id="rId38" w:history="1">
        <w:r w:rsidRPr="003B54BB">
          <w:rPr>
            <w:rStyle w:val="Hyperlink"/>
            <w:lang w:val="sk-SK"/>
          </w:rPr>
          <w:t>http://ec.europa.eu/europe2020/pdf/csr2016/csr2016_slovakia_en.pdf</w:t>
        </w:r>
      </w:hyperlink>
      <w:r w:rsidRPr="003B54BB">
        <w:rPr>
          <w:lang w:val="sk-SK"/>
        </w:rPr>
        <w:t>.</w:t>
      </w:r>
    </w:p>
  </w:footnote>
  <w:footnote w:id="55">
    <w:p w14:paraId="4324B44C"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The only available allowances are related to sheltered workshops / workplaces as shown in table 1.</w:t>
      </w:r>
    </w:p>
  </w:footnote>
  <w:footnote w:id="56">
    <w:p w14:paraId="75C890E7" w14:textId="6305DB19" w:rsidR="003B54BB" w:rsidRPr="003B54BB" w:rsidRDefault="003B54BB" w:rsidP="003B54BB">
      <w:pPr>
        <w:pStyle w:val="FootnoteRM"/>
        <w:ind w:firstLine="0"/>
      </w:pPr>
      <w:r w:rsidRPr="003B54BB">
        <w:t xml:space="preserve">Average monthly wage in the Slovak Republic. Statistical Office of the Slovak Republic. Available at: </w:t>
      </w:r>
      <w:hyperlink r:id="rId39" w:history="1">
        <w:r w:rsidR="006C3173" w:rsidRPr="00B37EE6">
          <w:rPr>
            <w:rStyle w:val="Hyperlink"/>
          </w:rPr>
          <w:t>http://statdat.statistics.sk/cognosext/cgi-bin/cognos.cgi?b_action=cognosViewer&amp;ui.action=run&amp;ui.object=storeID(%22i94C7052B240A492FB3BE8C7A487D337B%22)&amp;ui.name=Priemern%c3%a1%20mesa%c4%8dn%c3%a1%20mzda%20v%20hospod%c3%a1rstve%20SR%20%5bpr0204qs%5d&amp;run.outputFormat=&amp;run.prompt=true&amp;cv.header=false&amp;ui.backURL=%2fcognosext%2fcps4%2fportlets%2fcommon%2fclose.html&amp;run.outputLocale=sk</w:t>
        </w:r>
      </w:hyperlink>
      <w:r w:rsidRPr="003B54BB">
        <w:t>.</w:t>
      </w:r>
    </w:p>
  </w:footnote>
  <w:footnote w:id="57">
    <w:p w14:paraId="5615F5AE" w14:textId="5752D13C"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PISA 2015. National Report Slovakia. The National Institute for Certified Educational Measurements: Bratislava 2017. Available at: </w:t>
      </w:r>
      <w:hyperlink r:id="rId40" w:history="1">
        <w:r w:rsidRPr="003B54BB">
          <w:rPr>
            <w:rStyle w:val="Hyperlink"/>
          </w:rPr>
          <w:t>http://www.nucem.sk/documents//27//NS_PISA_2015.pdf</w:t>
        </w:r>
      </w:hyperlink>
      <w:r w:rsidRPr="003B54BB">
        <w:t xml:space="preserve">. </w:t>
      </w:r>
    </w:p>
  </w:footnote>
  <w:footnote w:id="58">
    <w:p w14:paraId="2FBFF3ED" w14:textId="77777777" w:rsidR="003B54BB" w:rsidRPr="003B54BB" w:rsidRDefault="003B54BB" w:rsidP="003B54BB">
      <w:pPr>
        <w:pStyle w:val="FootnoteRM"/>
      </w:pPr>
      <w:r w:rsidRPr="003B54BB">
        <w:rPr>
          <w:rStyle w:val="FootnoteReference"/>
        </w:rPr>
        <w:footnoteRef/>
      </w:r>
      <w:r w:rsidRPr="003B54BB">
        <w:rPr>
          <w:i/>
        </w:rPr>
        <w:t xml:space="preserve"> </w:t>
      </w:r>
      <w:r w:rsidRPr="003B54BB">
        <w:rPr>
          <w:i/>
        </w:rPr>
        <w:tab/>
        <w:t>The Outcomes of Nationwide Testing of Pupils in the 9the grade of Primary Schools 2016/2017.</w:t>
      </w:r>
      <w:r w:rsidRPr="003B54BB">
        <w:t xml:space="preserve"> The National Institute for Certified Educational Measurements. Available at: </w:t>
      </w:r>
    </w:p>
    <w:p w14:paraId="71FDAA7B" w14:textId="456090F4" w:rsidR="003B54BB" w:rsidRPr="003B54BB" w:rsidRDefault="003B54BB" w:rsidP="003B54BB">
      <w:pPr>
        <w:pStyle w:val="FootnoteRM"/>
        <w:ind w:firstLine="0"/>
        <w:rPr>
          <w:lang w:val="sk-SK"/>
        </w:rPr>
      </w:pPr>
      <w:hyperlink r:id="rId41" w:history="1">
        <w:r w:rsidRPr="003B54BB">
          <w:rPr>
            <w:rStyle w:val="Hyperlink"/>
            <w:lang w:val="sk-SK"/>
          </w:rPr>
          <w:t>http://www.nucem.sk/documents/26/testovanie_9_2017/vysledky_t9_2017/Prezentacia_Vysledky_T9-2017.pdf</w:t>
        </w:r>
      </w:hyperlink>
      <w:r w:rsidRPr="003B54BB">
        <w:rPr>
          <w:lang w:val="sk-SK"/>
        </w:rPr>
        <w:t xml:space="preserve">. </w:t>
      </w:r>
    </w:p>
  </w:footnote>
  <w:footnote w:id="59">
    <w:p w14:paraId="107F1CC3" w14:textId="72B33508"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External part of </w:t>
      </w:r>
      <w:proofErr w:type="spellStart"/>
      <w:r w:rsidRPr="003B54BB">
        <w:t>Maturita</w:t>
      </w:r>
      <w:proofErr w:type="spellEnd"/>
      <w:r w:rsidRPr="003B54BB">
        <w:t xml:space="preserve"> in the school year 2016/2017. Results. The National Institute for Certified Educational Measurements. May 31, 2017. Available at: </w:t>
      </w:r>
      <w:hyperlink r:id="rId42" w:history="1">
        <w:r w:rsidRPr="003B54BB">
          <w:rPr>
            <w:rStyle w:val="Hyperlink"/>
          </w:rPr>
          <w:t>http://www.nucem.sk/documents/25/maturita_2017/vysledky_spravy/Prezentacia_MS-2017_final.pdf</w:t>
        </w:r>
      </w:hyperlink>
      <w:r w:rsidRPr="003B54BB">
        <w:t>.</w:t>
      </w:r>
    </w:p>
  </w:footnote>
  <w:footnote w:id="60">
    <w:p w14:paraId="60AE70EB" w14:textId="29DB77D8" w:rsidR="003B54BB" w:rsidRPr="003B54BB" w:rsidRDefault="003B54BB" w:rsidP="003B54BB">
      <w:pPr>
        <w:pStyle w:val="FootnoteRM"/>
      </w:pPr>
      <w:r w:rsidRPr="003B54BB">
        <w:rPr>
          <w:rStyle w:val="FootnoteReference"/>
        </w:rPr>
        <w:footnoteRef/>
      </w:r>
      <w:r w:rsidRPr="003B54BB">
        <w:t xml:space="preserve"> </w:t>
      </w:r>
      <w:r w:rsidRPr="003B54BB">
        <w:tab/>
        <w:t xml:space="preserve">Available at: </w:t>
      </w:r>
      <w:hyperlink r:id="rId43" w:history="1">
        <w:r w:rsidRPr="003B54BB">
          <w:rPr>
            <w:rStyle w:val="Hyperlink"/>
          </w:rPr>
          <w:t>http://www.finance.gov.sk/Default.aspx?CatID=11380</w:t>
        </w:r>
      </w:hyperlink>
      <w:r w:rsidRPr="003B54BB">
        <w:rPr>
          <w:rStyle w:val="Hyperlink"/>
          <w:u w:val="none"/>
        </w:rPr>
        <w:t>.</w:t>
      </w:r>
    </w:p>
  </w:footnote>
  <w:footnote w:id="61">
    <w:p w14:paraId="1F2ED18C" w14:textId="1A8AEBD9" w:rsidR="003B54BB" w:rsidRPr="003B54BB" w:rsidRDefault="003B54BB" w:rsidP="003B54BB">
      <w:pPr>
        <w:pStyle w:val="FootnoteRM"/>
        <w:rPr>
          <w:lang w:val="sk-SK"/>
        </w:rPr>
      </w:pPr>
      <w:r w:rsidRPr="003B54BB">
        <w:rPr>
          <w:rStyle w:val="FootnoteReference"/>
        </w:rPr>
        <w:footnoteRef/>
      </w:r>
      <w:r w:rsidRPr="003B54BB">
        <w:t xml:space="preserve"> </w:t>
      </w:r>
      <w:r w:rsidRPr="003B54BB">
        <w:tab/>
        <w:t>Poland, Hungary, Czech Republic, Slovakia.</w:t>
      </w:r>
    </w:p>
  </w:footnote>
  <w:footnote w:id="62">
    <w:p w14:paraId="32EB7EEF" w14:textId="61944A11"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See Zoznam členov komisie / List of the members of the commission. Available at: </w:t>
      </w:r>
      <w:hyperlink r:id="rId44" w:history="1">
        <w:r w:rsidRPr="003B54BB">
          <w:rPr>
            <w:rStyle w:val="Hyperlink"/>
          </w:rPr>
          <w:t>https://www.employment.gov.sk/sk/esf/programove-obdobie-2014-2020/monitorovaci-vybor-op-ludske-zdroje/komisia-osi-234-zamestnanost/</w:t>
        </w:r>
      </w:hyperlink>
      <w:r w:rsidRPr="003B54BB">
        <w:t xml:space="preserve">. </w:t>
      </w:r>
    </w:p>
  </w:footnote>
  <w:footnote w:id="63">
    <w:p w14:paraId="0F877DDC" w14:textId="5DC0F38E"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Available at (in Slovak only): </w:t>
      </w:r>
      <w:hyperlink r:id="rId45" w:history="1">
        <w:r w:rsidRPr="003B54BB">
          <w:rPr>
            <w:rStyle w:val="Hyperlink"/>
          </w:rPr>
          <w:t>https://www.ia.gov.sk/sk/dopytovo-orientovane-projekty/vyzvy/op-lz-dop-20174.1.201</w:t>
        </w:r>
      </w:hyperlink>
      <w:r w:rsidRPr="003B54BB">
        <w:t>.</w:t>
      </w:r>
    </w:p>
  </w:footnote>
  <w:footnote w:id="64">
    <w:p w14:paraId="5BF42C60" w14:textId="6D64B4C3" w:rsidR="003B54BB" w:rsidRPr="003B54BB" w:rsidRDefault="003B54BB" w:rsidP="003B54BB">
      <w:pPr>
        <w:pStyle w:val="FootnoteRM"/>
      </w:pPr>
      <w:r w:rsidRPr="003B54BB">
        <w:rPr>
          <w:rStyle w:val="FootnoteReference"/>
        </w:rPr>
        <w:footnoteRef/>
      </w:r>
      <w:r w:rsidRPr="003B54BB">
        <w:t xml:space="preserve"> </w:t>
      </w:r>
      <w:r w:rsidRPr="003B54BB">
        <w:tab/>
        <w:t xml:space="preserve">Available at (in Slovak only): </w:t>
      </w:r>
      <w:hyperlink r:id="rId46" w:history="1">
        <w:r w:rsidRPr="003B54BB">
          <w:rPr>
            <w:rStyle w:val="Hyperlink"/>
          </w:rPr>
          <w:t>http://www.upsvar.sk/zaruky-pre-mladych/narodne-projekty-zamerane-na-podporu-zamestnania-mladych-do-29-rokov.html?page_id=512908</w:t>
        </w:r>
      </w:hyperlink>
      <w:r w:rsidRPr="003B54BB">
        <w:t>.</w:t>
      </w:r>
    </w:p>
  </w:footnote>
  <w:footnote w:id="65">
    <w:p w14:paraId="41573558" w14:textId="7FDFDC76"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Available at: </w:t>
      </w:r>
      <w:hyperlink r:id="rId47" w:history="1">
        <w:r w:rsidRPr="003B54BB">
          <w:rPr>
            <w:rStyle w:val="Hyperlink"/>
          </w:rPr>
          <w:t>http://www.upsvar.sk/statistiky/aktivne-opatrenia-tp-statistiky/kopia-aktivne-opatrenia-trhu-prace-2014.html?page_id=618270</w:t>
        </w:r>
      </w:hyperlink>
      <w:r w:rsidRPr="003B54BB">
        <w:t>.</w:t>
      </w:r>
    </w:p>
  </w:footnote>
  <w:footnote w:id="66">
    <w:p w14:paraId="49A63BF9"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r>
      <w:r w:rsidRPr="003B54BB">
        <w:rPr>
          <w:i/>
        </w:rPr>
        <w:t xml:space="preserve">This initiative reflects the commitment set out in the National Disability Programme for years 2014-2020 </w:t>
      </w:r>
      <w:proofErr w:type="gramStart"/>
      <w:r w:rsidRPr="003B54BB">
        <w:rPr>
          <w:i/>
        </w:rPr>
        <w:t>in the area of</w:t>
      </w:r>
      <w:proofErr w:type="gramEnd"/>
      <w:r w:rsidRPr="003B54BB">
        <w:rPr>
          <w:i/>
        </w:rPr>
        <w:t xml:space="preserve"> employment </w:t>
      </w:r>
      <w:r w:rsidRPr="003B54BB">
        <w:t xml:space="preserve">to enable young persons with disabilities to benefit from the programmes aimed at transition from school to work. It is supposed to be financed via </w:t>
      </w:r>
      <w:r w:rsidRPr="003B54BB">
        <w:rPr>
          <w:i/>
        </w:rPr>
        <w:t>Operational</w:t>
      </w:r>
      <w:r w:rsidRPr="003B54BB">
        <w:rPr>
          <w:b/>
          <w:i/>
        </w:rPr>
        <w:t xml:space="preserve"> </w:t>
      </w:r>
      <w:r w:rsidRPr="003B54BB">
        <w:t xml:space="preserve">Programme Human Resources, priority axis 2: Youth Employment Initiative, Investment priority </w:t>
      </w:r>
      <w:r w:rsidRPr="003B54BB">
        <w:rPr>
          <w:bCs/>
          <w:iCs/>
        </w:rPr>
        <w:t xml:space="preserve">2.1 Sustainable integration into the labour market of young people, </w:t>
      </w:r>
      <w:proofErr w:type="gramStart"/>
      <w:r w:rsidRPr="003B54BB">
        <w:rPr>
          <w:bCs/>
          <w:iCs/>
        </w:rPr>
        <w:t>in particular those</w:t>
      </w:r>
      <w:proofErr w:type="gramEnd"/>
      <w:r w:rsidRPr="003B54BB">
        <w:rPr>
          <w:bCs/>
          <w:iCs/>
        </w:rPr>
        <w:t xml:space="preserve"> not in employment, education or training, including young people at risk of social exclusion and young people from marginalised communities, including through the implementation of the Youth Guarantee.</w:t>
      </w:r>
    </w:p>
  </w:footnote>
  <w:footnote w:id="67">
    <w:p w14:paraId="7F9B360C"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For more information see: </w:t>
      </w:r>
      <w:hyperlink r:id="rId48" w:history="1">
        <w:r w:rsidRPr="003B54BB">
          <w:rPr>
            <w:rStyle w:val="Hyperlink"/>
          </w:rPr>
          <w:t>http://www.upsvar.sk/europsky-socialny-fond/narodne-projekty-v-programovom-obdobi-2014-2020/narodny-projekt-podpora-zamestnavania-obcanov-so-zdravotnym-postihnutim.html?page_id=560256</w:t>
        </w:r>
      </w:hyperlink>
      <w:r w:rsidRPr="003B54BB">
        <w:t>.</w:t>
      </w:r>
    </w:p>
  </w:footnote>
  <w:footnote w:id="68">
    <w:p w14:paraId="00756180"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For more details on the NP, please visit following hyperlink (available in Slovak only): </w:t>
      </w:r>
      <w:hyperlink r:id="rId49" w:history="1">
        <w:r w:rsidRPr="003B54BB">
          <w:rPr>
            <w:rStyle w:val="Hyperlink"/>
          </w:rPr>
          <w:t>http://www.upsvar.sk/europsky-socialny-fond/narodne-projekty-v-programovom-obdobi-2007-2013/narodny-projekt-podpora-udrzania-pracovnych-miest-pre-obcanov-so-zdravotnym-postihnutim-a-zvysovanie-zamestnatelnosti-uoz.html?page_id=527055</w:t>
        </w:r>
      </w:hyperlink>
      <w:r w:rsidRPr="003B54BB">
        <w:t>.</w:t>
      </w:r>
    </w:p>
  </w:footnote>
  <w:footnote w:id="69">
    <w:p w14:paraId="59DA6F7D" w14:textId="3701D89C" w:rsidR="003B54BB" w:rsidRPr="003B54BB" w:rsidRDefault="003B54BB" w:rsidP="003B54BB">
      <w:pPr>
        <w:pStyle w:val="FootnoteRM"/>
      </w:pPr>
      <w:r w:rsidRPr="003B54BB">
        <w:rPr>
          <w:rStyle w:val="FootnoteReference"/>
        </w:rPr>
        <w:footnoteRef/>
      </w:r>
      <w:r w:rsidRPr="003B54BB">
        <w:t xml:space="preserve"> </w:t>
      </w:r>
      <w:r w:rsidRPr="003B54BB">
        <w:tab/>
        <w:t xml:space="preserve">For more information see: </w:t>
      </w:r>
      <w:hyperlink r:id="rId50" w:history="1">
        <w:r w:rsidRPr="003B54BB">
          <w:rPr>
            <w:rStyle w:val="Hyperlink"/>
          </w:rPr>
          <w:t>https://www.minedu.sk/05102016-vyzvanie-oplz-po12016np111-02-pre-narodny-projekt-skola-otvorena-vsetkym/</w:t>
        </w:r>
      </w:hyperlink>
      <w:r w:rsidRPr="003B54BB">
        <w:t xml:space="preserve">; </w:t>
      </w:r>
      <w:hyperlink r:id="rId51" w:history="1">
        <w:r w:rsidRPr="003B54BB">
          <w:rPr>
            <w:rStyle w:val="Hyperlink"/>
          </w:rPr>
          <w:t>https://www.minedu.sk/data/att/10415.pdf</w:t>
        </w:r>
      </w:hyperlink>
      <w:r w:rsidRPr="003B54BB">
        <w:t xml:space="preserve">. </w:t>
      </w:r>
    </w:p>
  </w:footnote>
  <w:footnote w:id="70">
    <w:p w14:paraId="75A67705" w14:textId="45D9A53A" w:rsidR="003B54BB" w:rsidRPr="003B54BB" w:rsidRDefault="003B54BB" w:rsidP="003B54BB">
      <w:pPr>
        <w:pStyle w:val="FootnoteRM"/>
        <w:rPr>
          <w:lang w:val="en-US"/>
        </w:rPr>
      </w:pPr>
      <w:r w:rsidRPr="003B54BB">
        <w:rPr>
          <w:rStyle w:val="FootnoteReference"/>
        </w:rPr>
        <w:footnoteRef/>
      </w:r>
      <w:r w:rsidRPr="003B54BB">
        <w:t xml:space="preserve"> </w:t>
      </w:r>
      <w:r w:rsidRPr="003B54BB">
        <w:tab/>
        <w:t xml:space="preserve">For more information see: </w:t>
      </w:r>
      <w:hyperlink r:id="rId52" w:history="1">
        <w:r w:rsidRPr="003B54BB">
          <w:rPr>
            <w:rStyle w:val="Hyperlink"/>
          </w:rPr>
          <w:t>https://www.minedu.sk/data/att/11871.pdf</w:t>
        </w:r>
      </w:hyperlink>
      <w:r w:rsidRPr="003B54BB">
        <w:t xml:space="preserve">. </w:t>
      </w:r>
    </w:p>
  </w:footnote>
  <w:footnote w:id="71">
    <w:p w14:paraId="13DF3AE9" w14:textId="77777777" w:rsidR="003B54BB" w:rsidRPr="003B54BB" w:rsidRDefault="003B54BB" w:rsidP="003B54BB">
      <w:pPr>
        <w:pStyle w:val="FootnoteRM"/>
        <w:rPr>
          <w:lang w:val="sk-SK"/>
        </w:rPr>
      </w:pPr>
      <w:r w:rsidRPr="003B54BB">
        <w:rPr>
          <w:rStyle w:val="FootnoteReference"/>
        </w:rPr>
        <w:footnoteRef/>
      </w:r>
      <w:r w:rsidRPr="003B54BB">
        <w:t xml:space="preserve"> </w:t>
      </w:r>
      <w:r w:rsidRPr="003B54BB">
        <w:tab/>
        <w:t xml:space="preserve">For more information, see: </w:t>
      </w:r>
      <w:hyperlink r:id="rId53" w:history="1">
        <w:r w:rsidRPr="003B54BB">
          <w:rPr>
            <w:rStyle w:val="Hyperlink"/>
          </w:rPr>
          <w:t>https://www.ia.gov.sk/sk/narodne-projekty/narodny-projekt-podpora-opatrovatelskej-sluzby</w:t>
        </w:r>
      </w:hyperlink>
      <w:r w:rsidRPr="003B54B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A14D" w14:textId="1A05AC78" w:rsidR="003B54BB" w:rsidRDefault="003B54BB" w:rsidP="00AF323E">
    <w:r>
      <w:rPr>
        <w:noProof/>
        <w:lang w:eastAsia="zh-CN"/>
      </w:rPr>
      <mc:AlternateContent>
        <mc:Choice Requires="wps">
          <w:drawing>
            <wp:anchor distT="0" distB="0" distL="114300" distR="114300" simplePos="0" relativeHeight="251658240" behindDoc="0" locked="0" layoutInCell="1" allowOverlap="1" wp14:anchorId="38448762" wp14:editId="48749213">
              <wp:simplePos x="0" y="0"/>
              <wp:positionH relativeFrom="column">
                <wp:posOffset>31554</wp:posOffset>
              </wp:positionH>
              <wp:positionV relativeFrom="paragraph">
                <wp:posOffset>-10600</wp:posOffset>
              </wp:positionV>
              <wp:extent cx="5706207" cy="6858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207"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77EC" w14:textId="7FE20B8E" w:rsidR="003B54BB" w:rsidRDefault="003B54BB" w:rsidP="00AB2EF5">
                          <w:pPr>
                            <w:jc w:val="center"/>
                            <w:rPr>
                              <w:sz w:val="16"/>
                              <w:lang w:eastAsia="fr-FR"/>
                            </w:rPr>
                          </w:pPr>
                          <w:r>
                            <w:rPr>
                              <w:sz w:val="16"/>
                              <w:lang w:eastAsia="fr-FR"/>
                            </w:rPr>
                            <w:t>European Semester 2017/2018</w:t>
                          </w:r>
                          <w:r w:rsidRPr="00F46384">
                            <w:rPr>
                              <w:sz w:val="16"/>
                              <w:lang w:eastAsia="fr-FR"/>
                            </w:rPr>
                            <w:t xml:space="preserve"> country fiche on disability</w:t>
                          </w:r>
                        </w:p>
                        <w:p w14:paraId="1DE2309D" w14:textId="2A7FEE40" w:rsidR="003B54BB" w:rsidRPr="00ED6A68" w:rsidRDefault="003B54BB" w:rsidP="00101F25">
                          <w:pPr>
                            <w:pBdr>
                              <w:between w:val="single" w:sz="4" w:space="1" w:color="auto"/>
                            </w:pBdr>
                            <w:jc w:val="center"/>
                            <w:rPr>
                              <w:sz w:val="16"/>
                              <w:szCs w:val="16"/>
                            </w:rPr>
                          </w:pPr>
                          <w:r>
                            <w:rPr>
                              <w:sz w:val="16"/>
                              <w:szCs w:val="16"/>
                            </w:rPr>
                            <w:pict w14:anchorId="08E3DF13">
                              <v:rect id="_x0000_i102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48762" id="_x0000_t202" coordsize="21600,21600" o:spt="202" path="m,l,21600r21600,l21600,xe">
              <v:stroke joinstyle="miter"/>
              <v:path gradientshapeok="t" o:connecttype="rect"/>
            </v:shapetype>
            <v:shape id="Text Box 21" o:spid="_x0000_s1026" type="#_x0000_t202" style="position:absolute;margin-left:2.5pt;margin-top:-.85pt;width:449.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" filled="f" stroked="f">
              <v:textbox>
                <w:txbxContent>
                  <w:p w14:paraId="23C977EC" w14:textId="7FE20B8E" w:rsidR="003B54BB" w:rsidRDefault="003B54BB" w:rsidP="00AB2EF5">
                    <w:pPr>
                      <w:jc w:val="center"/>
                      <w:rPr>
                        <w:sz w:val="16"/>
                        <w:lang w:eastAsia="fr-FR"/>
                      </w:rPr>
                    </w:pPr>
                    <w:r>
                      <w:rPr>
                        <w:sz w:val="16"/>
                        <w:lang w:eastAsia="fr-FR"/>
                      </w:rPr>
                      <w:t>European Semester 2017/2018</w:t>
                    </w:r>
                    <w:r w:rsidRPr="00F46384">
                      <w:rPr>
                        <w:sz w:val="16"/>
                        <w:lang w:eastAsia="fr-FR"/>
                      </w:rPr>
                      <w:t xml:space="preserve"> country fiche on disability</w:t>
                    </w:r>
                  </w:p>
                  <w:p w14:paraId="1DE2309D" w14:textId="2A7FEE40" w:rsidR="003B54BB" w:rsidRPr="00ED6A68" w:rsidRDefault="003B54BB" w:rsidP="00101F25">
                    <w:pPr>
                      <w:pBdr>
                        <w:between w:val="single" w:sz="4" w:space="1" w:color="auto"/>
                      </w:pBdr>
                      <w:jc w:val="center"/>
                      <w:rPr>
                        <w:sz w:val="16"/>
                        <w:szCs w:val="16"/>
                      </w:rPr>
                    </w:pPr>
                    <w:r>
                      <w:rPr>
                        <w:sz w:val="16"/>
                        <w:szCs w:val="16"/>
                      </w:rPr>
                      <w:pict w14:anchorId="08E3DF13">
                        <v:rect id="_x0000_i1026" style="width:0;height:1.5pt" o:hralign="center" o:hrstd="t" o:hr="t" fillcolor="#a0a0a0" stroked="f"/>
                      </w:pic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61946"/>
    <w:multiLevelType w:val="hybridMultilevel"/>
    <w:tmpl w:val="92761BAC"/>
    <w:lvl w:ilvl="0" w:tplc="E984129A">
      <w:start w:val="7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9E1AB0"/>
    <w:multiLevelType w:val="hybridMultilevel"/>
    <w:tmpl w:val="F2FC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E622D"/>
    <w:multiLevelType w:val="hybridMultilevel"/>
    <w:tmpl w:val="6374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54396"/>
    <w:multiLevelType w:val="hybridMultilevel"/>
    <w:tmpl w:val="37E8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D7321"/>
    <w:multiLevelType w:val="hybridMultilevel"/>
    <w:tmpl w:val="1B28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B1078"/>
    <w:multiLevelType w:val="hybridMultilevel"/>
    <w:tmpl w:val="0CD474FA"/>
    <w:lvl w:ilvl="0" w:tplc="E984129A">
      <w:start w:val="7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BF5272"/>
    <w:multiLevelType w:val="hybridMultilevel"/>
    <w:tmpl w:val="4796C276"/>
    <w:lvl w:ilvl="0" w:tplc="E984129A">
      <w:start w:val="7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7B024F"/>
    <w:multiLevelType w:val="hybridMultilevel"/>
    <w:tmpl w:val="8DE657DE"/>
    <w:lvl w:ilvl="0" w:tplc="E984129A">
      <w:start w:val="7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1F58AF"/>
    <w:multiLevelType w:val="hybridMultilevel"/>
    <w:tmpl w:val="FF32A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BC31D3"/>
    <w:multiLevelType w:val="multilevel"/>
    <w:tmpl w:val="96E8ECC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4837FFA"/>
    <w:multiLevelType w:val="hybridMultilevel"/>
    <w:tmpl w:val="D916D38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0E7AF3"/>
    <w:multiLevelType w:val="hybridMultilevel"/>
    <w:tmpl w:val="8A6A8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C941F4"/>
    <w:multiLevelType w:val="hybridMultilevel"/>
    <w:tmpl w:val="7A4E6E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F563B6D"/>
    <w:multiLevelType w:val="hybridMultilevel"/>
    <w:tmpl w:val="38F204B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F91338"/>
    <w:multiLevelType w:val="hybridMultilevel"/>
    <w:tmpl w:val="1CF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B5F66"/>
    <w:multiLevelType w:val="hybridMultilevel"/>
    <w:tmpl w:val="A0DE1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B35910"/>
    <w:multiLevelType w:val="hybridMultilevel"/>
    <w:tmpl w:val="498C0C16"/>
    <w:lvl w:ilvl="0" w:tplc="0122CE24">
      <w:start w:val="1"/>
      <w:numFmt w:val="decimal"/>
      <w:lvlText w:val="%1."/>
      <w:lvlJc w:val="left"/>
      <w:pPr>
        <w:ind w:left="1854" w:hanging="360"/>
      </w:pPr>
      <w:rPr>
        <w:rFonts w:hint="default"/>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39066013"/>
    <w:multiLevelType w:val="hybridMultilevel"/>
    <w:tmpl w:val="262CC52C"/>
    <w:lvl w:ilvl="0" w:tplc="F154D12E">
      <w:start w:val="1"/>
      <w:numFmt w:val="decimal"/>
      <w:lvlText w:val="%1.1.1"/>
      <w:lvlJc w:val="left"/>
      <w:pPr>
        <w:ind w:left="720" w:hanging="360"/>
      </w:pPr>
      <w:rPr>
        <w:rFonts w:ascii="Verdana" w:hAnsi="Verdana" w:hint="default"/>
        <w:b/>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97626E3"/>
    <w:multiLevelType w:val="hybridMultilevel"/>
    <w:tmpl w:val="18165EF0"/>
    <w:lvl w:ilvl="0" w:tplc="E984129A">
      <w:start w:val="7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F1B334B"/>
    <w:multiLevelType w:val="hybridMultilevel"/>
    <w:tmpl w:val="EA64A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0AD6BA8"/>
    <w:multiLevelType w:val="hybridMultilevel"/>
    <w:tmpl w:val="C242FCCC"/>
    <w:lvl w:ilvl="0" w:tplc="0413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3" w15:restartNumberingAfterBreak="0">
    <w:nsid w:val="4382160C"/>
    <w:multiLevelType w:val="hybridMultilevel"/>
    <w:tmpl w:val="E98C5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334449"/>
    <w:multiLevelType w:val="hybridMultilevel"/>
    <w:tmpl w:val="C22EE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8026DD"/>
    <w:multiLevelType w:val="hybridMultilevel"/>
    <w:tmpl w:val="8408B1CA"/>
    <w:lvl w:ilvl="0" w:tplc="D5B65BF0">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E44BAB"/>
    <w:multiLevelType w:val="hybridMultilevel"/>
    <w:tmpl w:val="5F7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86206"/>
    <w:multiLevelType w:val="hybridMultilevel"/>
    <w:tmpl w:val="181C2C6A"/>
    <w:lvl w:ilvl="0" w:tplc="89C8393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CE5164"/>
    <w:multiLevelType w:val="hybridMultilevel"/>
    <w:tmpl w:val="44A268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F7D0DC3"/>
    <w:multiLevelType w:val="hybridMultilevel"/>
    <w:tmpl w:val="48B4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25897"/>
    <w:multiLevelType w:val="hybridMultilevel"/>
    <w:tmpl w:val="CF28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187E"/>
    <w:multiLevelType w:val="hybridMultilevel"/>
    <w:tmpl w:val="8B0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E6027"/>
    <w:multiLevelType w:val="hybridMultilevel"/>
    <w:tmpl w:val="FAE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0030C"/>
    <w:multiLevelType w:val="hybridMultilevel"/>
    <w:tmpl w:val="2E4C6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B11981"/>
    <w:multiLevelType w:val="hybridMultilevel"/>
    <w:tmpl w:val="3D92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751E4"/>
    <w:multiLevelType w:val="hybridMultilevel"/>
    <w:tmpl w:val="9E824CD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CBC2AF3"/>
    <w:multiLevelType w:val="hybridMultilevel"/>
    <w:tmpl w:val="BC941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1D7F50"/>
    <w:multiLevelType w:val="hybridMultilevel"/>
    <w:tmpl w:val="2AE88A0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38"/>
  </w:num>
  <w:num w:numId="4">
    <w:abstractNumId w:val="11"/>
  </w:num>
  <w:num w:numId="5">
    <w:abstractNumId w:val="33"/>
  </w:num>
  <w:num w:numId="6">
    <w:abstractNumId w:val="36"/>
  </w:num>
  <w:num w:numId="7">
    <w:abstractNumId w:val="22"/>
  </w:num>
  <w:num w:numId="8">
    <w:abstractNumId w:val="23"/>
  </w:num>
  <w:num w:numId="9">
    <w:abstractNumId w:val="35"/>
  </w:num>
  <w:num w:numId="10">
    <w:abstractNumId w:val="17"/>
  </w:num>
  <w:num w:numId="11">
    <w:abstractNumId w:val="15"/>
  </w:num>
  <w:num w:numId="12">
    <w:abstractNumId w:val="24"/>
  </w:num>
  <w:num w:numId="13">
    <w:abstractNumId w:val="21"/>
  </w:num>
  <w:num w:numId="14">
    <w:abstractNumId w:val="28"/>
  </w:num>
  <w:num w:numId="15">
    <w:abstractNumId w:val="13"/>
  </w:num>
  <w:num w:numId="16">
    <w:abstractNumId w:val="27"/>
  </w:num>
  <w:num w:numId="17">
    <w:abstractNumId w:val="25"/>
  </w:num>
  <w:num w:numId="18">
    <w:abstractNumId w:val="9"/>
  </w:num>
  <w:num w:numId="19">
    <w:abstractNumId w:val="2"/>
  </w:num>
  <w:num w:numId="20">
    <w:abstractNumId w:val="7"/>
  </w:num>
  <w:num w:numId="21">
    <w:abstractNumId w:val="20"/>
  </w:num>
  <w:num w:numId="22">
    <w:abstractNumId w:val="8"/>
  </w:num>
  <w:num w:numId="23">
    <w:abstractNumId w:val="37"/>
  </w:num>
  <w:num w:numId="24">
    <w:abstractNumId w:val="16"/>
  </w:num>
  <w:num w:numId="25">
    <w:abstractNumId w:val="32"/>
  </w:num>
  <w:num w:numId="26">
    <w:abstractNumId w:val="4"/>
  </w:num>
  <w:num w:numId="27">
    <w:abstractNumId w:val="19"/>
  </w:num>
  <w:num w:numId="28">
    <w:abstractNumId w:val="11"/>
    <w:lvlOverride w:ilvl="0">
      <w:startOverride w:val="2"/>
    </w:lvlOverride>
    <w:lvlOverride w:ilvl="1">
      <w:startOverride w:val="2"/>
    </w:lvlOverride>
    <w:lvlOverride w:ilvl="2">
      <w:startOverride w:val="1"/>
    </w:lvlOverride>
  </w:num>
  <w:num w:numId="29">
    <w:abstractNumId w:val="11"/>
    <w:lvlOverride w:ilvl="0">
      <w:startOverride w:val="2"/>
    </w:lvlOverride>
    <w:lvlOverride w:ilvl="1">
      <w:startOverride w:val="2"/>
    </w:lvlOverride>
    <w:lvlOverride w:ilvl="2">
      <w:startOverride w:val="1"/>
    </w:lvlOverride>
  </w:num>
  <w:num w:numId="30">
    <w:abstractNumId w:val="18"/>
  </w:num>
  <w:num w:numId="31">
    <w:abstractNumId w:val="14"/>
  </w:num>
  <w:num w:numId="32">
    <w:abstractNumId w:val="12"/>
  </w:num>
  <w:num w:numId="33">
    <w:abstractNumId w:val="5"/>
  </w:num>
  <w:num w:numId="34">
    <w:abstractNumId w:val="34"/>
  </w:num>
  <w:num w:numId="35">
    <w:abstractNumId w:val="26"/>
  </w:num>
  <w:num w:numId="36">
    <w:abstractNumId w:val="30"/>
  </w:num>
  <w:num w:numId="37">
    <w:abstractNumId w:val="29"/>
  </w:num>
  <w:num w:numId="38">
    <w:abstractNumId w:val="6"/>
  </w:num>
  <w:num w:numId="39">
    <w:abstractNumId w:val="31"/>
  </w:num>
  <w:num w:numId="40">
    <w:abstractNumId w:val="3"/>
  </w:num>
  <w:num w:numId="4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01"/>
    <w:rsid w:val="00000895"/>
    <w:rsid w:val="000018BD"/>
    <w:rsid w:val="00003B23"/>
    <w:rsid w:val="000057F0"/>
    <w:rsid w:val="00005808"/>
    <w:rsid w:val="00006E00"/>
    <w:rsid w:val="00007F37"/>
    <w:rsid w:val="0001374E"/>
    <w:rsid w:val="00013F5D"/>
    <w:rsid w:val="00014C22"/>
    <w:rsid w:val="000159A6"/>
    <w:rsid w:val="00017078"/>
    <w:rsid w:val="000310F2"/>
    <w:rsid w:val="00033123"/>
    <w:rsid w:val="000336BD"/>
    <w:rsid w:val="00033A4F"/>
    <w:rsid w:val="00033CAD"/>
    <w:rsid w:val="00034F1B"/>
    <w:rsid w:val="0003664E"/>
    <w:rsid w:val="00040141"/>
    <w:rsid w:val="0004167C"/>
    <w:rsid w:val="000422ED"/>
    <w:rsid w:val="00043855"/>
    <w:rsid w:val="00044E73"/>
    <w:rsid w:val="00045ACD"/>
    <w:rsid w:val="00045BA5"/>
    <w:rsid w:val="000509F1"/>
    <w:rsid w:val="00052188"/>
    <w:rsid w:val="0005276E"/>
    <w:rsid w:val="000535D1"/>
    <w:rsid w:val="000538E6"/>
    <w:rsid w:val="0005498D"/>
    <w:rsid w:val="000600A4"/>
    <w:rsid w:val="00060956"/>
    <w:rsid w:val="0006110D"/>
    <w:rsid w:val="00061EF4"/>
    <w:rsid w:val="00062405"/>
    <w:rsid w:val="0006273A"/>
    <w:rsid w:val="00063095"/>
    <w:rsid w:val="000637A5"/>
    <w:rsid w:val="000641A6"/>
    <w:rsid w:val="000641E4"/>
    <w:rsid w:val="00065B6B"/>
    <w:rsid w:val="000662EC"/>
    <w:rsid w:val="00066404"/>
    <w:rsid w:val="00066A6E"/>
    <w:rsid w:val="000711FD"/>
    <w:rsid w:val="00071825"/>
    <w:rsid w:val="000741AD"/>
    <w:rsid w:val="000743CD"/>
    <w:rsid w:val="000779E4"/>
    <w:rsid w:val="0008172D"/>
    <w:rsid w:val="0008202F"/>
    <w:rsid w:val="00082180"/>
    <w:rsid w:val="00082E6D"/>
    <w:rsid w:val="0008451E"/>
    <w:rsid w:val="00084AB1"/>
    <w:rsid w:val="000867B5"/>
    <w:rsid w:val="00090369"/>
    <w:rsid w:val="00091726"/>
    <w:rsid w:val="0009265B"/>
    <w:rsid w:val="00092B8F"/>
    <w:rsid w:val="000944EC"/>
    <w:rsid w:val="00094EF9"/>
    <w:rsid w:val="00095739"/>
    <w:rsid w:val="00097C86"/>
    <w:rsid w:val="000A00A3"/>
    <w:rsid w:val="000A1DDB"/>
    <w:rsid w:val="000A2074"/>
    <w:rsid w:val="000A2913"/>
    <w:rsid w:val="000A395C"/>
    <w:rsid w:val="000A489C"/>
    <w:rsid w:val="000A4DF7"/>
    <w:rsid w:val="000A5D17"/>
    <w:rsid w:val="000A5FA9"/>
    <w:rsid w:val="000A6C56"/>
    <w:rsid w:val="000B03CA"/>
    <w:rsid w:val="000B09B1"/>
    <w:rsid w:val="000B2CA6"/>
    <w:rsid w:val="000B49F8"/>
    <w:rsid w:val="000B4D16"/>
    <w:rsid w:val="000B5A77"/>
    <w:rsid w:val="000B7E80"/>
    <w:rsid w:val="000C2C88"/>
    <w:rsid w:val="000C3E90"/>
    <w:rsid w:val="000C4355"/>
    <w:rsid w:val="000C545F"/>
    <w:rsid w:val="000C5B06"/>
    <w:rsid w:val="000C7CF9"/>
    <w:rsid w:val="000D03D7"/>
    <w:rsid w:val="000D320A"/>
    <w:rsid w:val="000D37E1"/>
    <w:rsid w:val="000D7246"/>
    <w:rsid w:val="000E016C"/>
    <w:rsid w:val="000E037D"/>
    <w:rsid w:val="000E4188"/>
    <w:rsid w:val="000E59E4"/>
    <w:rsid w:val="000E5AB1"/>
    <w:rsid w:val="000E6012"/>
    <w:rsid w:val="000E6F87"/>
    <w:rsid w:val="000E7982"/>
    <w:rsid w:val="000E7A2D"/>
    <w:rsid w:val="000F179F"/>
    <w:rsid w:val="000F240C"/>
    <w:rsid w:val="000F51A4"/>
    <w:rsid w:val="000F657B"/>
    <w:rsid w:val="00100CCC"/>
    <w:rsid w:val="00101F25"/>
    <w:rsid w:val="0010327C"/>
    <w:rsid w:val="0010423F"/>
    <w:rsid w:val="0010437B"/>
    <w:rsid w:val="001058B6"/>
    <w:rsid w:val="00105A56"/>
    <w:rsid w:val="001066EA"/>
    <w:rsid w:val="00107B88"/>
    <w:rsid w:val="00111BDD"/>
    <w:rsid w:val="0011728E"/>
    <w:rsid w:val="00117547"/>
    <w:rsid w:val="00121555"/>
    <w:rsid w:val="00125432"/>
    <w:rsid w:val="00130750"/>
    <w:rsid w:val="001310AB"/>
    <w:rsid w:val="001316B5"/>
    <w:rsid w:val="0013277C"/>
    <w:rsid w:val="001335A3"/>
    <w:rsid w:val="001341CA"/>
    <w:rsid w:val="00137236"/>
    <w:rsid w:val="00140EA1"/>
    <w:rsid w:val="00141174"/>
    <w:rsid w:val="001419C9"/>
    <w:rsid w:val="00144642"/>
    <w:rsid w:val="0014468A"/>
    <w:rsid w:val="001469FE"/>
    <w:rsid w:val="00146B02"/>
    <w:rsid w:val="00147959"/>
    <w:rsid w:val="00150C0E"/>
    <w:rsid w:val="00152FE0"/>
    <w:rsid w:val="0015339F"/>
    <w:rsid w:val="00153B8A"/>
    <w:rsid w:val="001542A0"/>
    <w:rsid w:val="001601AB"/>
    <w:rsid w:val="001602BF"/>
    <w:rsid w:val="00162985"/>
    <w:rsid w:val="00164E89"/>
    <w:rsid w:val="00166627"/>
    <w:rsid w:val="00167C77"/>
    <w:rsid w:val="0017093C"/>
    <w:rsid w:val="00170C78"/>
    <w:rsid w:val="0017218E"/>
    <w:rsid w:val="00172F55"/>
    <w:rsid w:val="001736BE"/>
    <w:rsid w:val="00174742"/>
    <w:rsid w:val="00174E11"/>
    <w:rsid w:val="0017541C"/>
    <w:rsid w:val="001763DA"/>
    <w:rsid w:val="00176600"/>
    <w:rsid w:val="00176C84"/>
    <w:rsid w:val="001772D6"/>
    <w:rsid w:val="001804D4"/>
    <w:rsid w:val="0018229F"/>
    <w:rsid w:val="001828CD"/>
    <w:rsid w:val="00182AD6"/>
    <w:rsid w:val="00183BDA"/>
    <w:rsid w:val="00184494"/>
    <w:rsid w:val="001847EC"/>
    <w:rsid w:val="001868B3"/>
    <w:rsid w:val="00186D9F"/>
    <w:rsid w:val="00191ADB"/>
    <w:rsid w:val="00193CDB"/>
    <w:rsid w:val="00193D32"/>
    <w:rsid w:val="00194C77"/>
    <w:rsid w:val="00195164"/>
    <w:rsid w:val="00196015"/>
    <w:rsid w:val="00196F36"/>
    <w:rsid w:val="001A01AE"/>
    <w:rsid w:val="001A4061"/>
    <w:rsid w:val="001A783D"/>
    <w:rsid w:val="001B1373"/>
    <w:rsid w:val="001B13C3"/>
    <w:rsid w:val="001B31E0"/>
    <w:rsid w:val="001B3E4F"/>
    <w:rsid w:val="001B4539"/>
    <w:rsid w:val="001B609E"/>
    <w:rsid w:val="001B6309"/>
    <w:rsid w:val="001B7314"/>
    <w:rsid w:val="001C2846"/>
    <w:rsid w:val="001C2F45"/>
    <w:rsid w:val="001C30FE"/>
    <w:rsid w:val="001C7345"/>
    <w:rsid w:val="001C7EFB"/>
    <w:rsid w:val="001D034C"/>
    <w:rsid w:val="001D1FF0"/>
    <w:rsid w:val="001D2954"/>
    <w:rsid w:val="001D29F3"/>
    <w:rsid w:val="001D2AA2"/>
    <w:rsid w:val="001D5FBC"/>
    <w:rsid w:val="001D7472"/>
    <w:rsid w:val="001E16C9"/>
    <w:rsid w:val="001E1C6F"/>
    <w:rsid w:val="001E3EDC"/>
    <w:rsid w:val="001E4166"/>
    <w:rsid w:val="001F0365"/>
    <w:rsid w:val="001F2935"/>
    <w:rsid w:val="001F35E4"/>
    <w:rsid w:val="001F36D5"/>
    <w:rsid w:val="001F4D58"/>
    <w:rsid w:val="001F5428"/>
    <w:rsid w:val="001F6CDE"/>
    <w:rsid w:val="00200221"/>
    <w:rsid w:val="00200369"/>
    <w:rsid w:val="00202130"/>
    <w:rsid w:val="00204C4E"/>
    <w:rsid w:val="00206BED"/>
    <w:rsid w:val="002110BA"/>
    <w:rsid w:val="002117C9"/>
    <w:rsid w:val="00211FBF"/>
    <w:rsid w:val="002126FE"/>
    <w:rsid w:val="00214EB6"/>
    <w:rsid w:val="00215293"/>
    <w:rsid w:val="002155B7"/>
    <w:rsid w:val="00220548"/>
    <w:rsid w:val="002218C6"/>
    <w:rsid w:val="00222075"/>
    <w:rsid w:val="00222716"/>
    <w:rsid w:val="00223079"/>
    <w:rsid w:val="002255B2"/>
    <w:rsid w:val="0022560F"/>
    <w:rsid w:val="00230AC7"/>
    <w:rsid w:val="00231016"/>
    <w:rsid w:val="002311FF"/>
    <w:rsid w:val="00234CC6"/>
    <w:rsid w:val="00237001"/>
    <w:rsid w:val="002408EE"/>
    <w:rsid w:val="00241CF9"/>
    <w:rsid w:val="00242DE3"/>
    <w:rsid w:val="00243C02"/>
    <w:rsid w:val="002448AE"/>
    <w:rsid w:val="00247433"/>
    <w:rsid w:val="00250B6C"/>
    <w:rsid w:val="00251E35"/>
    <w:rsid w:val="0025258A"/>
    <w:rsid w:val="00260075"/>
    <w:rsid w:val="00261C2C"/>
    <w:rsid w:val="0026388D"/>
    <w:rsid w:val="00263F92"/>
    <w:rsid w:val="00264795"/>
    <w:rsid w:val="00264864"/>
    <w:rsid w:val="0026578C"/>
    <w:rsid w:val="00265DB8"/>
    <w:rsid w:val="002728D7"/>
    <w:rsid w:val="00273123"/>
    <w:rsid w:val="00273838"/>
    <w:rsid w:val="00273ED7"/>
    <w:rsid w:val="00275417"/>
    <w:rsid w:val="002758FD"/>
    <w:rsid w:val="0028143A"/>
    <w:rsid w:val="00281765"/>
    <w:rsid w:val="00281E32"/>
    <w:rsid w:val="00282774"/>
    <w:rsid w:val="002860BB"/>
    <w:rsid w:val="0028665C"/>
    <w:rsid w:val="00291B4C"/>
    <w:rsid w:val="00291BED"/>
    <w:rsid w:val="00292CF0"/>
    <w:rsid w:val="0029457E"/>
    <w:rsid w:val="00294C72"/>
    <w:rsid w:val="00294D57"/>
    <w:rsid w:val="00295482"/>
    <w:rsid w:val="00295585"/>
    <w:rsid w:val="00296354"/>
    <w:rsid w:val="002A237B"/>
    <w:rsid w:val="002A3497"/>
    <w:rsid w:val="002A62F2"/>
    <w:rsid w:val="002A6F1E"/>
    <w:rsid w:val="002A7F69"/>
    <w:rsid w:val="002B0A1A"/>
    <w:rsid w:val="002B12F0"/>
    <w:rsid w:val="002B26B5"/>
    <w:rsid w:val="002B3CE3"/>
    <w:rsid w:val="002B5D8E"/>
    <w:rsid w:val="002B64BF"/>
    <w:rsid w:val="002B67BD"/>
    <w:rsid w:val="002B67C9"/>
    <w:rsid w:val="002B771F"/>
    <w:rsid w:val="002C1EE0"/>
    <w:rsid w:val="002C35F4"/>
    <w:rsid w:val="002C4876"/>
    <w:rsid w:val="002C49FA"/>
    <w:rsid w:val="002C56DE"/>
    <w:rsid w:val="002D3703"/>
    <w:rsid w:val="002E14EF"/>
    <w:rsid w:val="002E269E"/>
    <w:rsid w:val="002E3353"/>
    <w:rsid w:val="002E36C6"/>
    <w:rsid w:val="002E420B"/>
    <w:rsid w:val="002E4D1A"/>
    <w:rsid w:val="002E4EE6"/>
    <w:rsid w:val="002E4FAE"/>
    <w:rsid w:val="002E5430"/>
    <w:rsid w:val="002E56AB"/>
    <w:rsid w:val="002E6199"/>
    <w:rsid w:val="002F1000"/>
    <w:rsid w:val="002F1620"/>
    <w:rsid w:val="002F19FF"/>
    <w:rsid w:val="002F3F54"/>
    <w:rsid w:val="002F45F8"/>
    <w:rsid w:val="002F4A63"/>
    <w:rsid w:val="002F69DE"/>
    <w:rsid w:val="003009E0"/>
    <w:rsid w:val="003013EA"/>
    <w:rsid w:val="00302832"/>
    <w:rsid w:val="00310720"/>
    <w:rsid w:val="00311E44"/>
    <w:rsid w:val="00313EDA"/>
    <w:rsid w:val="00315AAA"/>
    <w:rsid w:val="003160F2"/>
    <w:rsid w:val="00320608"/>
    <w:rsid w:val="00321C4B"/>
    <w:rsid w:val="00321FD5"/>
    <w:rsid w:val="003220C8"/>
    <w:rsid w:val="00322365"/>
    <w:rsid w:val="00324DAD"/>
    <w:rsid w:val="00326015"/>
    <w:rsid w:val="00327E05"/>
    <w:rsid w:val="00330013"/>
    <w:rsid w:val="00330467"/>
    <w:rsid w:val="0033358C"/>
    <w:rsid w:val="003353A4"/>
    <w:rsid w:val="00336CD1"/>
    <w:rsid w:val="003400F1"/>
    <w:rsid w:val="00340C72"/>
    <w:rsid w:val="00341BE6"/>
    <w:rsid w:val="00341D00"/>
    <w:rsid w:val="00343BF5"/>
    <w:rsid w:val="00343FCA"/>
    <w:rsid w:val="00345F88"/>
    <w:rsid w:val="0034676A"/>
    <w:rsid w:val="00346FC5"/>
    <w:rsid w:val="00347C19"/>
    <w:rsid w:val="00350404"/>
    <w:rsid w:val="0035359D"/>
    <w:rsid w:val="003535D7"/>
    <w:rsid w:val="00354338"/>
    <w:rsid w:val="00354351"/>
    <w:rsid w:val="00356078"/>
    <w:rsid w:val="00361DEE"/>
    <w:rsid w:val="003645CD"/>
    <w:rsid w:val="00365193"/>
    <w:rsid w:val="00365AE4"/>
    <w:rsid w:val="00367337"/>
    <w:rsid w:val="00367D63"/>
    <w:rsid w:val="00370FBC"/>
    <w:rsid w:val="00371776"/>
    <w:rsid w:val="00374869"/>
    <w:rsid w:val="00374A7F"/>
    <w:rsid w:val="00375373"/>
    <w:rsid w:val="00375C64"/>
    <w:rsid w:val="00380F33"/>
    <w:rsid w:val="003813D0"/>
    <w:rsid w:val="00381A09"/>
    <w:rsid w:val="00382B75"/>
    <w:rsid w:val="003837D3"/>
    <w:rsid w:val="00383DB1"/>
    <w:rsid w:val="00383F40"/>
    <w:rsid w:val="00385532"/>
    <w:rsid w:val="00391349"/>
    <w:rsid w:val="00391548"/>
    <w:rsid w:val="003941CA"/>
    <w:rsid w:val="00397C51"/>
    <w:rsid w:val="003A26EF"/>
    <w:rsid w:val="003A5A63"/>
    <w:rsid w:val="003A66A9"/>
    <w:rsid w:val="003A7175"/>
    <w:rsid w:val="003A7467"/>
    <w:rsid w:val="003B037B"/>
    <w:rsid w:val="003B0A38"/>
    <w:rsid w:val="003B1107"/>
    <w:rsid w:val="003B422F"/>
    <w:rsid w:val="003B4643"/>
    <w:rsid w:val="003B4D53"/>
    <w:rsid w:val="003B54BB"/>
    <w:rsid w:val="003B5779"/>
    <w:rsid w:val="003C0D48"/>
    <w:rsid w:val="003C0FBC"/>
    <w:rsid w:val="003C1E8E"/>
    <w:rsid w:val="003C390B"/>
    <w:rsid w:val="003C53BA"/>
    <w:rsid w:val="003C5A2B"/>
    <w:rsid w:val="003C5D10"/>
    <w:rsid w:val="003C7F29"/>
    <w:rsid w:val="003D1870"/>
    <w:rsid w:val="003D356C"/>
    <w:rsid w:val="003D3619"/>
    <w:rsid w:val="003D3816"/>
    <w:rsid w:val="003D58FA"/>
    <w:rsid w:val="003D5C72"/>
    <w:rsid w:val="003D7AB4"/>
    <w:rsid w:val="003D7FAA"/>
    <w:rsid w:val="003E300E"/>
    <w:rsid w:val="003E6689"/>
    <w:rsid w:val="003E7EC1"/>
    <w:rsid w:val="003F0B0F"/>
    <w:rsid w:val="003F15B7"/>
    <w:rsid w:val="003F2303"/>
    <w:rsid w:val="003F359E"/>
    <w:rsid w:val="003F41BE"/>
    <w:rsid w:val="003F4379"/>
    <w:rsid w:val="003F4E08"/>
    <w:rsid w:val="004022FB"/>
    <w:rsid w:val="00404D64"/>
    <w:rsid w:val="0041159F"/>
    <w:rsid w:val="00413A84"/>
    <w:rsid w:val="00415058"/>
    <w:rsid w:val="00416060"/>
    <w:rsid w:val="00416AA0"/>
    <w:rsid w:val="00420419"/>
    <w:rsid w:val="00421676"/>
    <w:rsid w:val="00421E28"/>
    <w:rsid w:val="0042204C"/>
    <w:rsid w:val="00423314"/>
    <w:rsid w:val="00424E13"/>
    <w:rsid w:val="004268DD"/>
    <w:rsid w:val="00427DAC"/>
    <w:rsid w:val="00430C46"/>
    <w:rsid w:val="00430FFF"/>
    <w:rsid w:val="0043151F"/>
    <w:rsid w:val="004321ED"/>
    <w:rsid w:val="00432E2F"/>
    <w:rsid w:val="00433C6D"/>
    <w:rsid w:val="0043407A"/>
    <w:rsid w:val="00437FE0"/>
    <w:rsid w:val="00441B0F"/>
    <w:rsid w:val="004428C4"/>
    <w:rsid w:val="00443EC5"/>
    <w:rsid w:val="004450AF"/>
    <w:rsid w:val="004463CF"/>
    <w:rsid w:val="00450EBE"/>
    <w:rsid w:val="0045121C"/>
    <w:rsid w:val="0045140B"/>
    <w:rsid w:val="004515AA"/>
    <w:rsid w:val="004516D5"/>
    <w:rsid w:val="00451EC6"/>
    <w:rsid w:val="00452A41"/>
    <w:rsid w:val="004540E1"/>
    <w:rsid w:val="00454CCE"/>
    <w:rsid w:val="0046212A"/>
    <w:rsid w:val="00462ED7"/>
    <w:rsid w:val="00463F06"/>
    <w:rsid w:val="00464AFF"/>
    <w:rsid w:val="004661A0"/>
    <w:rsid w:val="00466804"/>
    <w:rsid w:val="00466B9E"/>
    <w:rsid w:val="00466F33"/>
    <w:rsid w:val="0047384A"/>
    <w:rsid w:val="00473A42"/>
    <w:rsid w:val="00475E92"/>
    <w:rsid w:val="004760DF"/>
    <w:rsid w:val="0047756F"/>
    <w:rsid w:val="00480DCE"/>
    <w:rsid w:val="00481FFA"/>
    <w:rsid w:val="00483715"/>
    <w:rsid w:val="00484233"/>
    <w:rsid w:val="00484B6C"/>
    <w:rsid w:val="004854C5"/>
    <w:rsid w:val="00485B9B"/>
    <w:rsid w:val="004907F3"/>
    <w:rsid w:val="00492E94"/>
    <w:rsid w:val="00493B7E"/>
    <w:rsid w:val="00494CBC"/>
    <w:rsid w:val="00495EC9"/>
    <w:rsid w:val="00496B54"/>
    <w:rsid w:val="00497A25"/>
    <w:rsid w:val="004A08AE"/>
    <w:rsid w:val="004A2329"/>
    <w:rsid w:val="004A2356"/>
    <w:rsid w:val="004A4388"/>
    <w:rsid w:val="004A673B"/>
    <w:rsid w:val="004A77F9"/>
    <w:rsid w:val="004A7A91"/>
    <w:rsid w:val="004B2329"/>
    <w:rsid w:val="004B3807"/>
    <w:rsid w:val="004B4104"/>
    <w:rsid w:val="004B46F9"/>
    <w:rsid w:val="004B6821"/>
    <w:rsid w:val="004B732F"/>
    <w:rsid w:val="004C0C34"/>
    <w:rsid w:val="004C0F77"/>
    <w:rsid w:val="004C1EAC"/>
    <w:rsid w:val="004C21E1"/>
    <w:rsid w:val="004C34B1"/>
    <w:rsid w:val="004C48F2"/>
    <w:rsid w:val="004C4EC8"/>
    <w:rsid w:val="004D01C6"/>
    <w:rsid w:val="004D2CDC"/>
    <w:rsid w:val="004D574E"/>
    <w:rsid w:val="004E2696"/>
    <w:rsid w:val="004E2E69"/>
    <w:rsid w:val="004E32BF"/>
    <w:rsid w:val="004E367F"/>
    <w:rsid w:val="004E3722"/>
    <w:rsid w:val="004E5CCD"/>
    <w:rsid w:val="004E74A8"/>
    <w:rsid w:val="004F0472"/>
    <w:rsid w:val="004F2290"/>
    <w:rsid w:val="004F42B7"/>
    <w:rsid w:val="004F74A1"/>
    <w:rsid w:val="004F793D"/>
    <w:rsid w:val="0050057C"/>
    <w:rsid w:val="00501094"/>
    <w:rsid w:val="005034C1"/>
    <w:rsid w:val="00503F97"/>
    <w:rsid w:val="00506847"/>
    <w:rsid w:val="00507846"/>
    <w:rsid w:val="005079F5"/>
    <w:rsid w:val="00510168"/>
    <w:rsid w:val="00510F62"/>
    <w:rsid w:val="00512FB4"/>
    <w:rsid w:val="00512FD2"/>
    <w:rsid w:val="005144FC"/>
    <w:rsid w:val="005212E9"/>
    <w:rsid w:val="005214BE"/>
    <w:rsid w:val="00526839"/>
    <w:rsid w:val="00530035"/>
    <w:rsid w:val="00531B33"/>
    <w:rsid w:val="00532D23"/>
    <w:rsid w:val="00534847"/>
    <w:rsid w:val="00534975"/>
    <w:rsid w:val="00536AC1"/>
    <w:rsid w:val="005377F8"/>
    <w:rsid w:val="005401DF"/>
    <w:rsid w:val="00541D86"/>
    <w:rsid w:val="00542497"/>
    <w:rsid w:val="00547930"/>
    <w:rsid w:val="00547CE7"/>
    <w:rsid w:val="0055221A"/>
    <w:rsid w:val="005554E8"/>
    <w:rsid w:val="00555B8D"/>
    <w:rsid w:val="00556DD1"/>
    <w:rsid w:val="005570FC"/>
    <w:rsid w:val="0056052E"/>
    <w:rsid w:val="00561FF5"/>
    <w:rsid w:val="0056264E"/>
    <w:rsid w:val="00565331"/>
    <w:rsid w:val="00575675"/>
    <w:rsid w:val="0057647A"/>
    <w:rsid w:val="00576A19"/>
    <w:rsid w:val="0057731B"/>
    <w:rsid w:val="00583089"/>
    <w:rsid w:val="005831C6"/>
    <w:rsid w:val="00585225"/>
    <w:rsid w:val="00585339"/>
    <w:rsid w:val="00585DFB"/>
    <w:rsid w:val="0059306C"/>
    <w:rsid w:val="005934BF"/>
    <w:rsid w:val="0059415A"/>
    <w:rsid w:val="00595813"/>
    <w:rsid w:val="00597A6F"/>
    <w:rsid w:val="005A0D0A"/>
    <w:rsid w:val="005A3FC7"/>
    <w:rsid w:val="005A5B11"/>
    <w:rsid w:val="005A62BD"/>
    <w:rsid w:val="005B0D14"/>
    <w:rsid w:val="005B0DA2"/>
    <w:rsid w:val="005B16E0"/>
    <w:rsid w:val="005B4102"/>
    <w:rsid w:val="005B4CA1"/>
    <w:rsid w:val="005B7C84"/>
    <w:rsid w:val="005B7CEF"/>
    <w:rsid w:val="005B7D91"/>
    <w:rsid w:val="005C1E49"/>
    <w:rsid w:val="005C42F7"/>
    <w:rsid w:val="005C5408"/>
    <w:rsid w:val="005C557C"/>
    <w:rsid w:val="005C65DC"/>
    <w:rsid w:val="005C6BC6"/>
    <w:rsid w:val="005C75D8"/>
    <w:rsid w:val="005D07A7"/>
    <w:rsid w:val="005D2E05"/>
    <w:rsid w:val="005D3ECF"/>
    <w:rsid w:val="005D4AB4"/>
    <w:rsid w:val="005D5969"/>
    <w:rsid w:val="005E0574"/>
    <w:rsid w:val="005E10DF"/>
    <w:rsid w:val="005E1C80"/>
    <w:rsid w:val="005E2AD8"/>
    <w:rsid w:val="005E2B67"/>
    <w:rsid w:val="005E364B"/>
    <w:rsid w:val="005E4C81"/>
    <w:rsid w:val="005E5B79"/>
    <w:rsid w:val="005E7786"/>
    <w:rsid w:val="005F1D20"/>
    <w:rsid w:val="005F304D"/>
    <w:rsid w:val="005F4A51"/>
    <w:rsid w:val="006003D9"/>
    <w:rsid w:val="006036BA"/>
    <w:rsid w:val="00605327"/>
    <w:rsid w:val="006066D7"/>
    <w:rsid w:val="00606A51"/>
    <w:rsid w:val="00606CE2"/>
    <w:rsid w:val="006074A1"/>
    <w:rsid w:val="00611857"/>
    <w:rsid w:val="00615920"/>
    <w:rsid w:val="00615ED8"/>
    <w:rsid w:val="00616B15"/>
    <w:rsid w:val="00620231"/>
    <w:rsid w:val="006225FC"/>
    <w:rsid w:val="006238D5"/>
    <w:rsid w:val="00623BA9"/>
    <w:rsid w:val="00626B0E"/>
    <w:rsid w:val="00630A5B"/>
    <w:rsid w:val="00630E62"/>
    <w:rsid w:val="00631AB6"/>
    <w:rsid w:val="006326AB"/>
    <w:rsid w:val="00632EF2"/>
    <w:rsid w:val="006340A1"/>
    <w:rsid w:val="006361EC"/>
    <w:rsid w:val="00636451"/>
    <w:rsid w:val="0063696E"/>
    <w:rsid w:val="00640AB1"/>
    <w:rsid w:val="006422C8"/>
    <w:rsid w:val="0064269E"/>
    <w:rsid w:val="00643E21"/>
    <w:rsid w:val="00643FC9"/>
    <w:rsid w:val="0064729E"/>
    <w:rsid w:val="00647961"/>
    <w:rsid w:val="00647C54"/>
    <w:rsid w:val="00647EB0"/>
    <w:rsid w:val="006503F2"/>
    <w:rsid w:val="0065118C"/>
    <w:rsid w:val="00651ADB"/>
    <w:rsid w:val="00653761"/>
    <w:rsid w:val="0065380E"/>
    <w:rsid w:val="00656E9D"/>
    <w:rsid w:val="0066068D"/>
    <w:rsid w:val="0066278F"/>
    <w:rsid w:val="00664EFF"/>
    <w:rsid w:val="00664F81"/>
    <w:rsid w:val="00665716"/>
    <w:rsid w:val="006657FB"/>
    <w:rsid w:val="00665919"/>
    <w:rsid w:val="006659DA"/>
    <w:rsid w:val="0066665A"/>
    <w:rsid w:val="00667179"/>
    <w:rsid w:val="006677E4"/>
    <w:rsid w:val="0067162C"/>
    <w:rsid w:val="00672DA4"/>
    <w:rsid w:val="006734D9"/>
    <w:rsid w:val="00675E3B"/>
    <w:rsid w:val="00676682"/>
    <w:rsid w:val="00680D45"/>
    <w:rsid w:val="006818A0"/>
    <w:rsid w:val="0068194C"/>
    <w:rsid w:val="0068256B"/>
    <w:rsid w:val="0068259C"/>
    <w:rsid w:val="006832CD"/>
    <w:rsid w:val="006853D0"/>
    <w:rsid w:val="00685491"/>
    <w:rsid w:val="00691B5A"/>
    <w:rsid w:val="00692101"/>
    <w:rsid w:val="0069263C"/>
    <w:rsid w:val="00694F9D"/>
    <w:rsid w:val="006A06F7"/>
    <w:rsid w:val="006A0CD0"/>
    <w:rsid w:val="006A5B88"/>
    <w:rsid w:val="006A6FF8"/>
    <w:rsid w:val="006A7583"/>
    <w:rsid w:val="006A76F7"/>
    <w:rsid w:val="006A7F0A"/>
    <w:rsid w:val="006B0B93"/>
    <w:rsid w:val="006B17C6"/>
    <w:rsid w:val="006B325D"/>
    <w:rsid w:val="006B3D21"/>
    <w:rsid w:val="006B403C"/>
    <w:rsid w:val="006B4989"/>
    <w:rsid w:val="006B64B2"/>
    <w:rsid w:val="006B6C2A"/>
    <w:rsid w:val="006B7206"/>
    <w:rsid w:val="006C27F1"/>
    <w:rsid w:val="006C2CDE"/>
    <w:rsid w:val="006C3017"/>
    <w:rsid w:val="006C3173"/>
    <w:rsid w:val="006C43E1"/>
    <w:rsid w:val="006C4539"/>
    <w:rsid w:val="006C5F81"/>
    <w:rsid w:val="006C7206"/>
    <w:rsid w:val="006D124C"/>
    <w:rsid w:val="006D20CC"/>
    <w:rsid w:val="006D22AF"/>
    <w:rsid w:val="006D24DE"/>
    <w:rsid w:val="006D39C1"/>
    <w:rsid w:val="006E3F49"/>
    <w:rsid w:val="006E7587"/>
    <w:rsid w:val="006F163E"/>
    <w:rsid w:val="006F33BD"/>
    <w:rsid w:val="006F3B50"/>
    <w:rsid w:val="006F4649"/>
    <w:rsid w:val="00702535"/>
    <w:rsid w:val="00703295"/>
    <w:rsid w:val="007038A9"/>
    <w:rsid w:val="00705924"/>
    <w:rsid w:val="00705AD4"/>
    <w:rsid w:val="007065B8"/>
    <w:rsid w:val="0071556A"/>
    <w:rsid w:val="007172B2"/>
    <w:rsid w:val="007173D6"/>
    <w:rsid w:val="00722DE1"/>
    <w:rsid w:val="007238CE"/>
    <w:rsid w:val="00723BE7"/>
    <w:rsid w:val="007258B1"/>
    <w:rsid w:val="00725F07"/>
    <w:rsid w:val="00725F1B"/>
    <w:rsid w:val="00726B60"/>
    <w:rsid w:val="00726BB2"/>
    <w:rsid w:val="00727DF8"/>
    <w:rsid w:val="007314E5"/>
    <w:rsid w:val="00731E23"/>
    <w:rsid w:val="007330CF"/>
    <w:rsid w:val="007360E6"/>
    <w:rsid w:val="00736EA7"/>
    <w:rsid w:val="007405AD"/>
    <w:rsid w:val="00741926"/>
    <w:rsid w:val="00742AEB"/>
    <w:rsid w:val="007441E4"/>
    <w:rsid w:val="007468AC"/>
    <w:rsid w:val="0074740E"/>
    <w:rsid w:val="007479C9"/>
    <w:rsid w:val="007545E4"/>
    <w:rsid w:val="00754636"/>
    <w:rsid w:val="00755123"/>
    <w:rsid w:val="00755A21"/>
    <w:rsid w:val="007567F9"/>
    <w:rsid w:val="00761D10"/>
    <w:rsid w:val="00764258"/>
    <w:rsid w:val="007654F5"/>
    <w:rsid w:val="00766A33"/>
    <w:rsid w:val="00767867"/>
    <w:rsid w:val="007709C9"/>
    <w:rsid w:val="00770CD1"/>
    <w:rsid w:val="00771E0A"/>
    <w:rsid w:val="007729CF"/>
    <w:rsid w:val="00772DE1"/>
    <w:rsid w:val="00773249"/>
    <w:rsid w:val="00773D6B"/>
    <w:rsid w:val="0077457E"/>
    <w:rsid w:val="007754D1"/>
    <w:rsid w:val="0077648F"/>
    <w:rsid w:val="00776C5C"/>
    <w:rsid w:val="00777783"/>
    <w:rsid w:val="007800E0"/>
    <w:rsid w:val="007804E3"/>
    <w:rsid w:val="00780579"/>
    <w:rsid w:val="007817CA"/>
    <w:rsid w:val="00782819"/>
    <w:rsid w:val="00787F54"/>
    <w:rsid w:val="0079078C"/>
    <w:rsid w:val="00793077"/>
    <w:rsid w:val="0079392C"/>
    <w:rsid w:val="00796511"/>
    <w:rsid w:val="00796F2D"/>
    <w:rsid w:val="007A1BB2"/>
    <w:rsid w:val="007A1D5D"/>
    <w:rsid w:val="007A2675"/>
    <w:rsid w:val="007A28A8"/>
    <w:rsid w:val="007A4870"/>
    <w:rsid w:val="007A6A53"/>
    <w:rsid w:val="007A6B3D"/>
    <w:rsid w:val="007B0D71"/>
    <w:rsid w:val="007B0EDB"/>
    <w:rsid w:val="007B2F97"/>
    <w:rsid w:val="007B4111"/>
    <w:rsid w:val="007C1B8B"/>
    <w:rsid w:val="007C1D4B"/>
    <w:rsid w:val="007C2390"/>
    <w:rsid w:val="007C2909"/>
    <w:rsid w:val="007C2FCE"/>
    <w:rsid w:val="007C414B"/>
    <w:rsid w:val="007C647E"/>
    <w:rsid w:val="007D2524"/>
    <w:rsid w:val="007D61D7"/>
    <w:rsid w:val="007D6A67"/>
    <w:rsid w:val="007D6F19"/>
    <w:rsid w:val="007E11B1"/>
    <w:rsid w:val="007E1313"/>
    <w:rsid w:val="007E142B"/>
    <w:rsid w:val="007E2B87"/>
    <w:rsid w:val="007E4663"/>
    <w:rsid w:val="007E46F5"/>
    <w:rsid w:val="007F0C8D"/>
    <w:rsid w:val="007F2118"/>
    <w:rsid w:val="007F21F5"/>
    <w:rsid w:val="007F5EF0"/>
    <w:rsid w:val="007F7808"/>
    <w:rsid w:val="00800807"/>
    <w:rsid w:val="00801ED9"/>
    <w:rsid w:val="00803568"/>
    <w:rsid w:val="00803621"/>
    <w:rsid w:val="008041CA"/>
    <w:rsid w:val="00805BFA"/>
    <w:rsid w:val="00815A08"/>
    <w:rsid w:val="00817236"/>
    <w:rsid w:val="0082245B"/>
    <w:rsid w:val="0082288F"/>
    <w:rsid w:val="00823423"/>
    <w:rsid w:val="00823796"/>
    <w:rsid w:val="008243A4"/>
    <w:rsid w:val="00825C8B"/>
    <w:rsid w:val="00827345"/>
    <w:rsid w:val="00827523"/>
    <w:rsid w:val="008276C9"/>
    <w:rsid w:val="00830BC3"/>
    <w:rsid w:val="00831141"/>
    <w:rsid w:val="008318E4"/>
    <w:rsid w:val="008341F2"/>
    <w:rsid w:val="00834272"/>
    <w:rsid w:val="008345FA"/>
    <w:rsid w:val="00837BCB"/>
    <w:rsid w:val="0084379B"/>
    <w:rsid w:val="00846480"/>
    <w:rsid w:val="0084654E"/>
    <w:rsid w:val="00846D48"/>
    <w:rsid w:val="008501EF"/>
    <w:rsid w:val="00851764"/>
    <w:rsid w:val="00860986"/>
    <w:rsid w:val="008613A1"/>
    <w:rsid w:val="008635D1"/>
    <w:rsid w:val="00870A26"/>
    <w:rsid w:val="0087240F"/>
    <w:rsid w:val="00873D7B"/>
    <w:rsid w:val="008745F3"/>
    <w:rsid w:val="008757D9"/>
    <w:rsid w:val="00876C69"/>
    <w:rsid w:val="00880119"/>
    <w:rsid w:val="00881498"/>
    <w:rsid w:val="00882749"/>
    <w:rsid w:val="0088441B"/>
    <w:rsid w:val="0088474A"/>
    <w:rsid w:val="00886D53"/>
    <w:rsid w:val="00890725"/>
    <w:rsid w:val="00890E90"/>
    <w:rsid w:val="00890F1C"/>
    <w:rsid w:val="008953C0"/>
    <w:rsid w:val="00895744"/>
    <w:rsid w:val="00897764"/>
    <w:rsid w:val="00897B4D"/>
    <w:rsid w:val="008A0885"/>
    <w:rsid w:val="008A0CFC"/>
    <w:rsid w:val="008A502A"/>
    <w:rsid w:val="008A5AB7"/>
    <w:rsid w:val="008B7245"/>
    <w:rsid w:val="008B7B6E"/>
    <w:rsid w:val="008C04C4"/>
    <w:rsid w:val="008C1039"/>
    <w:rsid w:val="008C17EE"/>
    <w:rsid w:val="008C1CA5"/>
    <w:rsid w:val="008C4713"/>
    <w:rsid w:val="008C4935"/>
    <w:rsid w:val="008C547B"/>
    <w:rsid w:val="008C5D1E"/>
    <w:rsid w:val="008C74E2"/>
    <w:rsid w:val="008C7990"/>
    <w:rsid w:val="008D073E"/>
    <w:rsid w:val="008D0B0F"/>
    <w:rsid w:val="008D128E"/>
    <w:rsid w:val="008D2A5F"/>
    <w:rsid w:val="008D3999"/>
    <w:rsid w:val="008D44D2"/>
    <w:rsid w:val="008D4BEA"/>
    <w:rsid w:val="008D792D"/>
    <w:rsid w:val="008D7DFB"/>
    <w:rsid w:val="008E4407"/>
    <w:rsid w:val="008E53EE"/>
    <w:rsid w:val="008E65C3"/>
    <w:rsid w:val="008F17BD"/>
    <w:rsid w:val="008F2D65"/>
    <w:rsid w:val="008F5BEF"/>
    <w:rsid w:val="008F76B3"/>
    <w:rsid w:val="009020CC"/>
    <w:rsid w:val="00903D3C"/>
    <w:rsid w:val="009069D7"/>
    <w:rsid w:val="0090711E"/>
    <w:rsid w:val="00910384"/>
    <w:rsid w:val="0091059B"/>
    <w:rsid w:val="009134C2"/>
    <w:rsid w:val="0091434C"/>
    <w:rsid w:val="0091583E"/>
    <w:rsid w:val="00915B1E"/>
    <w:rsid w:val="00915E6B"/>
    <w:rsid w:val="00917234"/>
    <w:rsid w:val="00917C47"/>
    <w:rsid w:val="009200FE"/>
    <w:rsid w:val="0092302A"/>
    <w:rsid w:val="00924D11"/>
    <w:rsid w:val="0092513F"/>
    <w:rsid w:val="00926F0F"/>
    <w:rsid w:val="00927284"/>
    <w:rsid w:val="00930117"/>
    <w:rsid w:val="00931249"/>
    <w:rsid w:val="0093366E"/>
    <w:rsid w:val="00947AB1"/>
    <w:rsid w:val="009544A8"/>
    <w:rsid w:val="00954863"/>
    <w:rsid w:val="00954A16"/>
    <w:rsid w:val="00955830"/>
    <w:rsid w:val="00957F11"/>
    <w:rsid w:val="00960CCE"/>
    <w:rsid w:val="00961B2F"/>
    <w:rsid w:val="009633FF"/>
    <w:rsid w:val="00970665"/>
    <w:rsid w:val="0097104F"/>
    <w:rsid w:val="009718C2"/>
    <w:rsid w:val="009745FB"/>
    <w:rsid w:val="00974B28"/>
    <w:rsid w:val="00974DE9"/>
    <w:rsid w:val="00974E43"/>
    <w:rsid w:val="009802DF"/>
    <w:rsid w:val="009840FA"/>
    <w:rsid w:val="0098674F"/>
    <w:rsid w:val="00986EB9"/>
    <w:rsid w:val="00990E7D"/>
    <w:rsid w:val="009933A2"/>
    <w:rsid w:val="00994237"/>
    <w:rsid w:val="00995463"/>
    <w:rsid w:val="00995B5F"/>
    <w:rsid w:val="009971BB"/>
    <w:rsid w:val="009A079B"/>
    <w:rsid w:val="009A0A7C"/>
    <w:rsid w:val="009A450E"/>
    <w:rsid w:val="009B0D02"/>
    <w:rsid w:val="009B0DB2"/>
    <w:rsid w:val="009B27F9"/>
    <w:rsid w:val="009B335F"/>
    <w:rsid w:val="009B3A70"/>
    <w:rsid w:val="009B708E"/>
    <w:rsid w:val="009C119E"/>
    <w:rsid w:val="009C4A70"/>
    <w:rsid w:val="009C50CC"/>
    <w:rsid w:val="009C539B"/>
    <w:rsid w:val="009C65B4"/>
    <w:rsid w:val="009D2138"/>
    <w:rsid w:val="009D26ED"/>
    <w:rsid w:val="009D3A6E"/>
    <w:rsid w:val="009D3E8B"/>
    <w:rsid w:val="009D507D"/>
    <w:rsid w:val="009E13D0"/>
    <w:rsid w:val="009E30BC"/>
    <w:rsid w:val="009E33B5"/>
    <w:rsid w:val="009E4D16"/>
    <w:rsid w:val="009E6590"/>
    <w:rsid w:val="009F1119"/>
    <w:rsid w:val="009F121B"/>
    <w:rsid w:val="009F12E6"/>
    <w:rsid w:val="009F1C55"/>
    <w:rsid w:val="009F2D05"/>
    <w:rsid w:val="00A01CD2"/>
    <w:rsid w:val="00A02DFF"/>
    <w:rsid w:val="00A031CC"/>
    <w:rsid w:val="00A07DB0"/>
    <w:rsid w:val="00A109E5"/>
    <w:rsid w:val="00A119C6"/>
    <w:rsid w:val="00A11B34"/>
    <w:rsid w:val="00A11B9F"/>
    <w:rsid w:val="00A12CF6"/>
    <w:rsid w:val="00A14DD9"/>
    <w:rsid w:val="00A14F67"/>
    <w:rsid w:val="00A1773D"/>
    <w:rsid w:val="00A20E11"/>
    <w:rsid w:val="00A21F0A"/>
    <w:rsid w:val="00A26D6D"/>
    <w:rsid w:val="00A27C57"/>
    <w:rsid w:val="00A27E6D"/>
    <w:rsid w:val="00A30878"/>
    <w:rsid w:val="00A31725"/>
    <w:rsid w:val="00A36B30"/>
    <w:rsid w:val="00A36CF5"/>
    <w:rsid w:val="00A41F68"/>
    <w:rsid w:val="00A431D6"/>
    <w:rsid w:val="00A46C3A"/>
    <w:rsid w:val="00A55D57"/>
    <w:rsid w:val="00A56DFE"/>
    <w:rsid w:val="00A571D8"/>
    <w:rsid w:val="00A60D6E"/>
    <w:rsid w:val="00A622E4"/>
    <w:rsid w:val="00A63703"/>
    <w:rsid w:val="00A64533"/>
    <w:rsid w:val="00A654C0"/>
    <w:rsid w:val="00A65F13"/>
    <w:rsid w:val="00A67E8D"/>
    <w:rsid w:val="00A70A7E"/>
    <w:rsid w:val="00A71D11"/>
    <w:rsid w:val="00A71D65"/>
    <w:rsid w:val="00A73DF3"/>
    <w:rsid w:val="00A7532A"/>
    <w:rsid w:val="00A76F0D"/>
    <w:rsid w:val="00A82314"/>
    <w:rsid w:val="00A824A1"/>
    <w:rsid w:val="00A83466"/>
    <w:rsid w:val="00A83E84"/>
    <w:rsid w:val="00A9134D"/>
    <w:rsid w:val="00A92183"/>
    <w:rsid w:val="00A943E8"/>
    <w:rsid w:val="00A960E8"/>
    <w:rsid w:val="00A963CD"/>
    <w:rsid w:val="00A9642C"/>
    <w:rsid w:val="00A974EC"/>
    <w:rsid w:val="00A9779C"/>
    <w:rsid w:val="00AA3E46"/>
    <w:rsid w:val="00AA6745"/>
    <w:rsid w:val="00AA7D8F"/>
    <w:rsid w:val="00AB10CE"/>
    <w:rsid w:val="00AB2EF5"/>
    <w:rsid w:val="00AB385B"/>
    <w:rsid w:val="00AB469B"/>
    <w:rsid w:val="00AB4D39"/>
    <w:rsid w:val="00AB6D22"/>
    <w:rsid w:val="00AC1131"/>
    <w:rsid w:val="00AC48BC"/>
    <w:rsid w:val="00AC4EA1"/>
    <w:rsid w:val="00AC501D"/>
    <w:rsid w:val="00AC647A"/>
    <w:rsid w:val="00AC6515"/>
    <w:rsid w:val="00AD05CC"/>
    <w:rsid w:val="00AD1B4C"/>
    <w:rsid w:val="00AD22C1"/>
    <w:rsid w:val="00AD3173"/>
    <w:rsid w:val="00AD33BC"/>
    <w:rsid w:val="00AD463C"/>
    <w:rsid w:val="00AD61F2"/>
    <w:rsid w:val="00AD6F22"/>
    <w:rsid w:val="00AE1BE5"/>
    <w:rsid w:val="00AE2920"/>
    <w:rsid w:val="00AE2B18"/>
    <w:rsid w:val="00AE395C"/>
    <w:rsid w:val="00AE7226"/>
    <w:rsid w:val="00AE733D"/>
    <w:rsid w:val="00AF323E"/>
    <w:rsid w:val="00AF3F3B"/>
    <w:rsid w:val="00AF46C1"/>
    <w:rsid w:val="00AF4A97"/>
    <w:rsid w:val="00B01FE2"/>
    <w:rsid w:val="00B048CD"/>
    <w:rsid w:val="00B06060"/>
    <w:rsid w:val="00B06B1C"/>
    <w:rsid w:val="00B06D79"/>
    <w:rsid w:val="00B12837"/>
    <w:rsid w:val="00B12ADE"/>
    <w:rsid w:val="00B14503"/>
    <w:rsid w:val="00B170A0"/>
    <w:rsid w:val="00B17403"/>
    <w:rsid w:val="00B20BC4"/>
    <w:rsid w:val="00B2278A"/>
    <w:rsid w:val="00B22B96"/>
    <w:rsid w:val="00B23E4E"/>
    <w:rsid w:val="00B24359"/>
    <w:rsid w:val="00B2465C"/>
    <w:rsid w:val="00B24A03"/>
    <w:rsid w:val="00B24B1B"/>
    <w:rsid w:val="00B270CB"/>
    <w:rsid w:val="00B33209"/>
    <w:rsid w:val="00B355B9"/>
    <w:rsid w:val="00B3599F"/>
    <w:rsid w:val="00B3772F"/>
    <w:rsid w:val="00B4024B"/>
    <w:rsid w:val="00B429ED"/>
    <w:rsid w:val="00B42A03"/>
    <w:rsid w:val="00B44D15"/>
    <w:rsid w:val="00B46FD5"/>
    <w:rsid w:val="00B53339"/>
    <w:rsid w:val="00B53ACA"/>
    <w:rsid w:val="00B546E6"/>
    <w:rsid w:val="00B56A4B"/>
    <w:rsid w:val="00B56F9C"/>
    <w:rsid w:val="00B57129"/>
    <w:rsid w:val="00B6238F"/>
    <w:rsid w:val="00B62685"/>
    <w:rsid w:val="00B70F94"/>
    <w:rsid w:val="00B71239"/>
    <w:rsid w:val="00B723F3"/>
    <w:rsid w:val="00B727BA"/>
    <w:rsid w:val="00B73014"/>
    <w:rsid w:val="00B732E9"/>
    <w:rsid w:val="00B73992"/>
    <w:rsid w:val="00B7564E"/>
    <w:rsid w:val="00B758BB"/>
    <w:rsid w:val="00B769C4"/>
    <w:rsid w:val="00B76E68"/>
    <w:rsid w:val="00B77FAF"/>
    <w:rsid w:val="00B82193"/>
    <w:rsid w:val="00B854F7"/>
    <w:rsid w:val="00B8615B"/>
    <w:rsid w:val="00B87CC2"/>
    <w:rsid w:val="00B90135"/>
    <w:rsid w:val="00B912FC"/>
    <w:rsid w:val="00B927F6"/>
    <w:rsid w:val="00B92991"/>
    <w:rsid w:val="00B9427E"/>
    <w:rsid w:val="00B948DF"/>
    <w:rsid w:val="00B94A87"/>
    <w:rsid w:val="00B94C17"/>
    <w:rsid w:val="00B97581"/>
    <w:rsid w:val="00BA1E0C"/>
    <w:rsid w:val="00BA25CA"/>
    <w:rsid w:val="00BA2C34"/>
    <w:rsid w:val="00BA35F1"/>
    <w:rsid w:val="00BA4E5C"/>
    <w:rsid w:val="00BA5ADB"/>
    <w:rsid w:val="00BB209B"/>
    <w:rsid w:val="00BB30D2"/>
    <w:rsid w:val="00BB4254"/>
    <w:rsid w:val="00BB7321"/>
    <w:rsid w:val="00BB7613"/>
    <w:rsid w:val="00BC0739"/>
    <w:rsid w:val="00BC0BBA"/>
    <w:rsid w:val="00BC3DD3"/>
    <w:rsid w:val="00BC3F8D"/>
    <w:rsid w:val="00BC5855"/>
    <w:rsid w:val="00BC79F1"/>
    <w:rsid w:val="00BD1FB9"/>
    <w:rsid w:val="00BD2CBA"/>
    <w:rsid w:val="00BD5249"/>
    <w:rsid w:val="00BD5DB5"/>
    <w:rsid w:val="00BE04B5"/>
    <w:rsid w:val="00BE096D"/>
    <w:rsid w:val="00BE476F"/>
    <w:rsid w:val="00BE532D"/>
    <w:rsid w:val="00BE7D0B"/>
    <w:rsid w:val="00BF0529"/>
    <w:rsid w:val="00BF2125"/>
    <w:rsid w:val="00BF3452"/>
    <w:rsid w:val="00BF3927"/>
    <w:rsid w:val="00BF41F1"/>
    <w:rsid w:val="00BF583F"/>
    <w:rsid w:val="00BF5BB2"/>
    <w:rsid w:val="00BF6032"/>
    <w:rsid w:val="00BF7AFC"/>
    <w:rsid w:val="00BF7C01"/>
    <w:rsid w:val="00C04D34"/>
    <w:rsid w:val="00C07F4A"/>
    <w:rsid w:val="00C12AF8"/>
    <w:rsid w:val="00C13B17"/>
    <w:rsid w:val="00C1420E"/>
    <w:rsid w:val="00C15096"/>
    <w:rsid w:val="00C16669"/>
    <w:rsid w:val="00C21840"/>
    <w:rsid w:val="00C22E07"/>
    <w:rsid w:val="00C2325D"/>
    <w:rsid w:val="00C2392E"/>
    <w:rsid w:val="00C26CF9"/>
    <w:rsid w:val="00C27D9B"/>
    <w:rsid w:val="00C34944"/>
    <w:rsid w:val="00C34FA2"/>
    <w:rsid w:val="00C35DA8"/>
    <w:rsid w:val="00C360FA"/>
    <w:rsid w:val="00C3685D"/>
    <w:rsid w:val="00C37551"/>
    <w:rsid w:val="00C40A88"/>
    <w:rsid w:val="00C418E4"/>
    <w:rsid w:val="00C429EB"/>
    <w:rsid w:val="00C43089"/>
    <w:rsid w:val="00C4343A"/>
    <w:rsid w:val="00C445D2"/>
    <w:rsid w:val="00C46FD4"/>
    <w:rsid w:val="00C500D7"/>
    <w:rsid w:val="00C53101"/>
    <w:rsid w:val="00C5326A"/>
    <w:rsid w:val="00C55495"/>
    <w:rsid w:val="00C567E6"/>
    <w:rsid w:val="00C5683E"/>
    <w:rsid w:val="00C56AC9"/>
    <w:rsid w:val="00C578AE"/>
    <w:rsid w:val="00C61646"/>
    <w:rsid w:val="00C62E58"/>
    <w:rsid w:val="00C65A48"/>
    <w:rsid w:val="00C66134"/>
    <w:rsid w:val="00C673CD"/>
    <w:rsid w:val="00C71B02"/>
    <w:rsid w:val="00C71FF9"/>
    <w:rsid w:val="00C72C6F"/>
    <w:rsid w:val="00C7318C"/>
    <w:rsid w:val="00C74088"/>
    <w:rsid w:val="00C75AFD"/>
    <w:rsid w:val="00C77A46"/>
    <w:rsid w:val="00C82466"/>
    <w:rsid w:val="00C82D9E"/>
    <w:rsid w:val="00C83D53"/>
    <w:rsid w:val="00C853A9"/>
    <w:rsid w:val="00C85940"/>
    <w:rsid w:val="00C860DA"/>
    <w:rsid w:val="00C92246"/>
    <w:rsid w:val="00C930AE"/>
    <w:rsid w:val="00C9580B"/>
    <w:rsid w:val="00C95926"/>
    <w:rsid w:val="00C96067"/>
    <w:rsid w:val="00C9768D"/>
    <w:rsid w:val="00CA0D11"/>
    <w:rsid w:val="00CA19CD"/>
    <w:rsid w:val="00CA6B70"/>
    <w:rsid w:val="00CA7444"/>
    <w:rsid w:val="00CB0A26"/>
    <w:rsid w:val="00CB400E"/>
    <w:rsid w:val="00CB5B8C"/>
    <w:rsid w:val="00CB6263"/>
    <w:rsid w:val="00CB6BD6"/>
    <w:rsid w:val="00CC247D"/>
    <w:rsid w:val="00CC2573"/>
    <w:rsid w:val="00CC2D30"/>
    <w:rsid w:val="00CC3706"/>
    <w:rsid w:val="00CC497A"/>
    <w:rsid w:val="00CC6322"/>
    <w:rsid w:val="00CC7A3E"/>
    <w:rsid w:val="00CC7FF1"/>
    <w:rsid w:val="00CD15CF"/>
    <w:rsid w:val="00CD1892"/>
    <w:rsid w:val="00CD4010"/>
    <w:rsid w:val="00CD405F"/>
    <w:rsid w:val="00CD533B"/>
    <w:rsid w:val="00CD6081"/>
    <w:rsid w:val="00CE0735"/>
    <w:rsid w:val="00CE1948"/>
    <w:rsid w:val="00CE1B8A"/>
    <w:rsid w:val="00CE29A7"/>
    <w:rsid w:val="00CE2B7B"/>
    <w:rsid w:val="00CE5537"/>
    <w:rsid w:val="00CE557F"/>
    <w:rsid w:val="00CE5FE6"/>
    <w:rsid w:val="00CE6749"/>
    <w:rsid w:val="00CE69B9"/>
    <w:rsid w:val="00CF0261"/>
    <w:rsid w:val="00CF09C7"/>
    <w:rsid w:val="00CF17EB"/>
    <w:rsid w:val="00CF18F1"/>
    <w:rsid w:val="00CF366E"/>
    <w:rsid w:val="00CF4AAC"/>
    <w:rsid w:val="00CF4F3F"/>
    <w:rsid w:val="00CF61E8"/>
    <w:rsid w:val="00D00B2C"/>
    <w:rsid w:val="00D00D33"/>
    <w:rsid w:val="00D02CD3"/>
    <w:rsid w:val="00D03E2C"/>
    <w:rsid w:val="00D04102"/>
    <w:rsid w:val="00D051EC"/>
    <w:rsid w:val="00D105FC"/>
    <w:rsid w:val="00D1316B"/>
    <w:rsid w:val="00D15AF3"/>
    <w:rsid w:val="00D16618"/>
    <w:rsid w:val="00D16B5A"/>
    <w:rsid w:val="00D171CF"/>
    <w:rsid w:val="00D17360"/>
    <w:rsid w:val="00D21F35"/>
    <w:rsid w:val="00D22126"/>
    <w:rsid w:val="00D240FA"/>
    <w:rsid w:val="00D24C81"/>
    <w:rsid w:val="00D254A5"/>
    <w:rsid w:val="00D25CB2"/>
    <w:rsid w:val="00D26D5A"/>
    <w:rsid w:val="00D26DAD"/>
    <w:rsid w:val="00D27082"/>
    <w:rsid w:val="00D276C2"/>
    <w:rsid w:val="00D31ED9"/>
    <w:rsid w:val="00D329AA"/>
    <w:rsid w:val="00D37E0C"/>
    <w:rsid w:val="00D40004"/>
    <w:rsid w:val="00D43C63"/>
    <w:rsid w:val="00D464DA"/>
    <w:rsid w:val="00D46B63"/>
    <w:rsid w:val="00D47BAE"/>
    <w:rsid w:val="00D51A0B"/>
    <w:rsid w:val="00D54AB8"/>
    <w:rsid w:val="00D555A8"/>
    <w:rsid w:val="00D5733D"/>
    <w:rsid w:val="00D60211"/>
    <w:rsid w:val="00D60F2D"/>
    <w:rsid w:val="00D61EB4"/>
    <w:rsid w:val="00D65AA3"/>
    <w:rsid w:val="00D65CFF"/>
    <w:rsid w:val="00D66189"/>
    <w:rsid w:val="00D703CE"/>
    <w:rsid w:val="00D705EF"/>
    <w:rsid w:val="00D70FF0"/>
    <w:rsid w:val="00D720C1"/>
    <w:rsid w:val="00D72CA8"/>
    <w:rsid w:val="00D73FC4"/>
    <w:rsid w:val="00D75D44"/>
    <w:rsid w:val="00D761F0"/>
    <w:rsid w:val="00D76437"/>
    <w:rsid w:val="00D76537"/>
    <w:rsid w:val="00D76EE1"/>
    <w:rsid w:val="00D772D2"/>
    <w:rsid w:val="00D77F90"/>
    <w:rsid w:val="00D8342A"/>
    <w:rsid w:val="00D83DED"/>
    <w:rsid w:val="00D84552"/>
    <w:rsid w:val="00D8490B"/>
    <w:rsid w:val="00D856B5"/>
    <w:rsid w:val="00D86626"/>
    <w:rsid w:val="00D87A57"/>
    <w:rsid w:val="00D91058"/>
    <w:rsid w:val="00D9121F"/>
    <w:rsid w:val="00D939BF"/>
    <w:rsid w:val="00D96734"/>
    <w:rsid w:val="00D96910"/>
    <w:rsid w:val="00D972A3"/>
    <w:rsid w:val="00DA2D57"/>
    <w:rsid w:val="00DA3CB4"/>
    <w:rsid w:val="00DB06A0"/>
    <w:rsid w:val="00DB2BA6"/>
    <w:rsid w:val="00DB5165"/>
    <w:rsid w:val="00DB553B"/>
    <w:rsid w:val="00DB6354"/>
    <w:rsid w:val="00DB657B"/>
    <w:rsid w:val="00DB7179"/>
    <w:rsid w:val="00DB727D"/>
    <w:rsid w:val="00DC1F2B"/>
    <w:rsid w:val="00DC301A"/>
    <w:rsid w:val="00DC4197"/>
    <w:rsid w:val="00DC4F9B"/>
    <w:rsid w:val="00DC521C"/>
    <w:rsid w:val="00DC6E28"/>
    <w:rsid w:val="00DD1E5A"/>
    <w:rsid w:val="00DD34AE"/>
    <w:rsid w:val="00DD3DA4"/>
    <w:rsid w:val="00DD6193"/>
    <w:rsid w:val="00DD6D85"/>
    <w:rsid w:val="00DE1169"/>
    <w:rsid w:val="00DE36D6"/>
    <w:rsid w:val="00DE5D49"/>
    <w:rsid w:val="00DE6486"/>
    <w:rsid w:val="00DE7258"/>
    <w:rsid w:val="00DF0694"/>
    <w:rsid w:val="00DF0AA7"/>
    <w:rsid w:val="00DF1581"/>
    <w:rsid w:val="00DF1593"/>
    <w:rsid w:val="00DF1DEF"/>
    <w:rsid w:val="00DF1E24"/>
    <w:rsid w:val="00DF310E"/>
    <w:rsid w:val="00DF361E"/>
    <w:rsid w:val="00DF37AB"/>
    <w:rsid w:val="00DF3F26"/>
    <w:rsid w:val="00DF44DB"/>
    <w:rsid w:val="00DF45A3"/>
    <w:rsid w:val="00DF4B18"/>
    <w:rsid w:val="00DF577A"/>
    <w:rsid w:val="00DF6212"/>
    <w:rsid w:val="00DF6B5B"/>
    <w:rsid w:val="00E006F8"/>
    <w:rsid w:val="00E01FD3"/>
    <w:rsid w:val="00E024C9"/>
    <w:rsid w:val="00E04127"/>
    <w:rsid w:val="00E057DF"/>
    <w:rsid w:val="00E05A42"/>
    <w:rsid w:val="00E05F46"/>
    <w:rsid w:val="00E07367"/>
    <w:rsid w:val="00E14979"/>
    <w:rsid w:val="00E15F29"/>
    <w:rsid w:val="00E162F1"/>
    <w:rsid w:val="00E16FB4"/>
    <w:rsid w:val="00E209F2"/>
    <w:rsid w:val="00E2756A"/>
    <w:rsid w:val="00E27EE7"/>
    <w:rsid w:val="00E30D54"/>
    <w:rsid w:val="00E31013"/>
    <w:rsid w:val="00E31639"/>
    <w:rsid w:val="00E349DD"/>
    <w:rsid w:val="00E35EAA"/>
    <w:rsid w:val="00E36D92"/>
    <w:rsid w:val="00E36EED"/>
    <w:rsid w:val="00E37C86"/>
    <w:rsid w:val="00E400E5"/>
    <w:rsid w:val="00E42735"/>
    <w:rsid w:val="00E44870"/>
    <w:rsid w:val="00E44BBB"/>
    <w:rsid w:val="00E44F0C"/>
    <w:rsid w:val="00E453D4"/>
    <w:rsid w:val="00E473CB"/>
    <w:rsid w:val="00E503CA"/>
    <w:rsid w:val="00E51EC7"/>
    <w:rsid w:val="00E526CE"/>
    <w:rsid w:val="00E52E2C"/>
    <w:rsid w:val="00E5376D"/>
    <w:rsid w:val="00E5574D"/>
    <w:rsid w:val="00E56D32"/>
    <w:rsid w:val="00E578D9"/>
    <w:rsid w:val="00E608B5"/>
    <w:rsid w:val="00E61942"/>
    <w:rsid w:val="00E63BEB"/>
    <w:rsid w:val="00E644D9"/>
    <w:rsid w:val="00E664CC"/>
    <w:rsid w:val="00E738FE"/>
    <w:rsid w:val="00E81158"/>
    <w:rsid w:val="00E82431"/>
    <w:rsid w:val="00E824BA"/>
    <w:rsid w:val="00E853FA"/>
    <w:rsid w:val="00E872A5"/>
    <w:rsid w:val="00E91FF7"/>
    <w:rsid w:val="00E94308"/>
    <w:rsid w:val="00E9692F"/>
    <w:rsid w:val="00EA166E"/>
    <w:rsid w:val="00EA2651"/>
    <w:rsid w:val="00EA4E6B"/>
    <w:rsid w:val="00EA5FB9"/>
    <w:rsid w:val="00EA6E02"/>
    <w:rsid w:val="00EA7037"/>
    <w:rsid w:val="00EA7111"/>
    <w:rsid w:val="00EA7301"/>
    <w:rsid w:val="00EB17D6"/>
    <w:rsid w:val="00EB1CDB"/>
    <w:rsid w:val="00EB31D1"/>
    <w:rsid w:val="00EB4133"/>
    <w:rsid w:val="00EB4892"/>
    <w:rsid w:val="00EB54C7"/>
    <w:rsid w:val="00EB5DBE"/>
    <w:rsid w:val="00EB66B1"/>
    <w:rsid w:val="00EB6D77"/>
    <w:rsid w:val="00EB6D99"/>
    <w:rsid w:val="00EB6F08"/>
    <w:rsid w:val="00EC0898"/>
    <w:rsid w:val="00EC327F"/>
    <w:rsid w:val="00EC38CC"/>
    <w:rsid w:val="00EC5A0E"/>
    <w:rsid w:val="00EC78A9"/>
    <w:rsid w:val="00ED0437"/>
    <w:rsid w:val="00ED365B"/>
    <w:rsid w:val="00ED4CF4"/>
    <w:rsid w:val="00ED619D"/>
    <w:rsid w:val="00ED6A68"/>
    <w:rsid w:val="00ED6B6A"/>
    <w:rsid w:val="00ED7AD8"/>
    <w:rsid w:val="00EE3840"/>
    <w:rsid w:val="00EE4AE4"/>
    <w:rsid w:val="00EE5DFA"/>
    <w:rsid w:val="00EF2268"/>
    <w:rsid w:val="00EF2568"/>
    <w:rsid w:val="00EF3881"/>
    <w:rsid w:val="00EF3CB6"/>
    <w:rsid w:val="00EF50C8"/>
    <w:rsid w:val="00EF5C39"/>
    <w:rsid w:val="00F003E7"/>
    <w:rsid w:val="00F00CBD"/>
    <w:rsid w:val="00F02691"/>
    <w:rsid w:val="00F04502"/>
    <w:rsid w:val="00F06936"/>
    <w:rsid w:val="00F101B6"/>
    <w:rsid w:val="00F11C94"/>
    <w:rsid w:val="00F13103"/>
    <w:rsid w:val="00F1315F"/>
    <w:rsid w:val="00F131AF"/>
    <w:rsid w:val="00F147DB"/>
    <w:rsid w:val="00F173B7"/>
    <w:rsid w:val="00F17406"/>
    <w:rsid w:val="00F22AEF"/>
    <w:rsid w:val="00F23DF7"/>
    <w:rsid w:val="00F246BF"/>
    <w:rsid w:val="00F26629"/>
    <w:rsid w:val="00F26BBF"/>
    <w:rsid w:val="00F27B6B"/>
    <w:rsid w:val="00F27E49"/>
    <w:rsid w:val="00F30B9C"/>
    <w:rsid w:val="00F31AD6"/>
    <w:rsid w:val="00F31F1C"/>
    <w:rsid w:val="00F33CA4"/>
    <w:rsid w:val="00F33FCD"/>
    <w:rsid w:val="00F340DC"/>
    <w:rsid w:val="00F344AF"/>
    <w:rsid w:val="00F34597"/>
    <w:rsid w:val="00F3483D"/>
    <w:rsid w:val="00F367F1"/>
    <w:rsid w:val="00F37C4F"/>
    <w:rsid w:val="00F40B28"/>
    <w:rsid w:val="00F41242"/>
    <w:rsid w:val="00F419B2"/>
    <w:rsid w:val="00F43B74"/>
    <w:rsid w:val="00F447D1"/>
    <w:rsid w:val="00F44CD5"/>
    <w:rsid w:val="00F45A0E"/>
    <w:rsid w:val="00F46384"/>
    <w:rsid w:val="00F505D3"/>
    <w:rsid w:val="00F531CA"/>
    <w:rsid w:val="00F54C94"/>
    <w:rsid w:val="00F62290"/>
    <w:rsid w:val="00F62FA7"/>
    <w:rsid w:val="00F6411A"/>
    <w:rsid w:val="00F65020"/>
    <w:rsid w:val="00F65BF1"/>
    <w:rsid w:val="00F662B7"/>
    <w:rsid w:val="00F66AE3"/>
    <w:rsid w:val="00F72C55"/>
    <w:rsid w:val="00F76517"/>
    <w:rsid w:val="00F77D95"/>
    <w:rsid w:val="00F81C5D"/>
    <w:rsid w:val="00F823BE"/>
    <w:rsid w:val="00F84654"/>
    <w:rsid w:val="00F90497"/>
    <w:rsid w:val="00F90E2E"/>
    <w:rsid w:val="00F91C7F"/>
    <w:rsid w:val="00F93B8A"/>
    <w:rsid w:val="00F941DA"/>
    <w:rsid w:val="00FA27F3"/>
    <w:rsid w:val="00FA5238"/>
    <w:rsid w:val="00FA5809"/>
    <w:rsid w:val="00FA7407"/>
    <w:rsid w:val="00FA793B"/>
    <w:rsid w:val="00FB123D"/>
    <w:rsid w:val="00FB2F43"/>
    <w:rsid w:val="00FB4D3F"/>
    <w:rsid w:val="00FB5F8F"/>
    <w:rsid w:val="00FB63EE"/>
    <w:rsid w:val="00FB652F"/>
    <w:rsid w:val="00FC2D26"/>
    <w:rsid w:val="00FC2E41"/>
    <w:rsid w:val="00FD13A1"/>
    <w:rsid w:val="00FD1B06"/>
    <w:rsid w:val="00FD360D"/>
    <w:rsid w:val="00FD4CE7"/>
    <w:rsid w:val="00FE1B66"/>
    <w:rsid w:val="00FE6E4F"/>
    <w:rsid w:val="00FE7605"/>
    <w:rsid w:val="00FF0B66"/>
    <w:rsid w:val="00FF0FCA"/>
    <w:rsid w:val="00FF1847"/>
    <w:rsid w:val="00FF228A"/>
    <w:rsid w:val="00FF2403"/>
    <w:rsid w:val="00FF610E"/>
    <w:rsid w:val="00FF6F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5583F45C"/>
  <w15:docId w15:val="{08FB4F11-F386-4E2B-82FF-D6070531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BAE"/>
    <w:pPr>
      <w:spacing w:after="120"/>
    </w:pPr>
    <w:rPr>
      <w:sz w:val="24"/>
      <w:szCs w:val="24"/>
      <w:lang w:eastAsia="en-US"/>
    </w:rPr>
  </w:style>
  <w:style w:type="paragraph" w:styleId="Heading1">
    <w:name w:val="heading 1"/>
    <w:basedOn w:val="Normal"/>
    <w:next w:val="Normal"/>
    <w:link w:val="Heading1Char"/>
    <w:autoRedefine/>
    <w:uiPriority w:val="9"/>
    <w:qFormat/>
    <w:rsid w:val="005A62BD"/>
    <w:pPr>
      <w:keepNext/>
      <w:keepLines/>
      <w:pageBreakBefore/>
      <w:numPr>
        <w:numId w:val="4"/>
      </w:numPr>
      <w:spacing w:after="0"/>
      <w:ind w:left="567" w:hanging="567"/>
      <w:outlineLvl w:val="0"/>
    </w:pPr>
    <w:rPr>
      <w:rFonts w:eastAsia="SimSun"/>
      <w:b/>
      <w:bCs/>
      <w:szCs w:val="28"/>
    </w:rPr>
  </w:style>
  <w:style w:type="paragraph" w:styleId="Heading2">
    <w:name w:val="heading 2"/>
    <w:basedOn w:val="Normal"/>
    <w:next w:val="Normal"/>
    <w:link w:val="Heading2Char"/>
    <w:autoRedefine/>
    <w:uiPriority w:val="9"/>
    <w:unhideWhenUsed/>
    <w:qFormat/>
    <w:rsid w:val="008C17EE"/>
    <w:pPr>
      <w:keepNext/>
      <w:keepLines/>
      <w:numPr>
        <w:ilvl w:val="1"/>
        <w:numId w:val="4"/>
      </w:numPr>
      <w:spacing w:after="0"/>
      <w:ind w:left="578" w:hanging="578"/>
      <w:jc w:val="both"/>
      <w:outlineLvl w:val="1"/>
    </w:pPr>
    <w:rPr>
      <w:rFonts w:eastAsia="SimSun"/>
      <w:b/>
      <w:bCs/>
      <w:szCs w:val="26"/>
    </w:rPr>
  </w:style>
  <w:style w:type="paragraph" w:styleId="Heading3">
    <w:name w:val="heading 3"/>
    <w:basedOn w:val="ListParagraph"/>
    <w:next w:val="Normal"/>
    <w:link w:val="Heading3Char"/>
    <w:autoRedefine/>
    <w:uiPriority w:val="9"/>
    <w:unhideWhenUsed/>
    <w:qFormat/>
    <w:rsid w:val="009E13D0"/>
    <w:pPr>
      <w:numPr>
        <w:ilvl w:val="2"/>
        <w:numId w:val="4"/>
      </w:numPr>
      <w:spacing w:after="0"/>
      <w:ind w:left="426" w:hanging="426"/>
      <w:outlineLvl w:val="2"/>
    </w:pPr>
    <w:rPr>
      <w:b/>
    </w:rPr>
  </w:style>
  <w:style w:type="paragraph" w:styleId="Heading4">
    <w:name w:val="heading 4"/>
    <w:basedOn w:val="Normal"/>
    <w:next w:val="Normal"/>
    <w:link w:val="Heading4Char"/>
    <w:autoRedefine/>
    <w:uiPriority w:val="9"/>
    <w:unhideWhenUsed/>
    <w:qFormat/>
    <w:rsid w:val="00EB66B1"/>
    <w:pPr>
      <w:keepNext/>
      <w:keepLines/>
      <w:numPr>
        <w:ilvl w:val="3"/>
        <w:numId w:val="4"/>
      </w:numPr>
      <w:spacing w:before="240"/>
      <w:outlineLvl w:val="3"/>
    </w:pPr>
    <w:rPr>
      <w:rFonts w:eastAsia="SimSun"/>
      <w:b/>
      <w:bCs/>
      <w:iCs/>
    </w:rPr>
  </w:style>
  <w:style w:type="paragraph" w:styleId="Heading5">
    <w:name w:val="heading 5"/>
    <w:basedOn w:val="Normal"/>
    <w:next w:val="Normal"/>
    <w:link w:val="Heading5Char"/>
    <w:autoRedefine/>
    <w:uiPriority w:val="9"/>
    <w:unhideWhenUsed/>
    <w:qFormat/>
    <w:rsid w:val="00273123"/>
    <w:pPr>
      <w:keepNext/>
      <w:keepLines/>
      <w:numPr>
        <w:ilvl w:val="4"/>
        <w:numId w:val="4"/>
      </w:numPr>
      <w:spacing w:before="240"/>
      <w:outlineLvl w:val="4"/>
    </w:pPr>
    <w:rPr>
      <w:rFonts w:eastAsia="SimSun"/>
      <w:b/>
    </w:rPr>
  </w:style>
  <w:style w:type="paragraph" w:styleId="Heading6">
    <w:name w:val="heading 6"/>
    <w:basedOn w:val="Normal"/>
    <w:next w:val="Normal"/>
    <w:link w:val="Heading6Char"/>
    <w:uiPriority w:val="9"/>
    <w:unhideWhenUsed/>
    <w:qFormat/>
    <w:rsid w:val="006F163E"/>
    <w:pPr>
      <w:keepNext/>
      <w:keepLines/>
      <w:numPr>
        <w:ilvl w:val="5"/>
        <w:numId w:val="4"/>
      </w:numPr>
      <w:spacing w:before="240"/>
      <w:outlineLvl w:val="5"/>
    </w:pPr>
    <w:rPr>
      <w:rFonts w:eastAsia="SimSun"/>
      <w:b/>
      <w:iCs/>
    </w:rPr>
  </w:style>
  <w:style w:type="paragraph" w:styleId="Heading7">
    <w:name w:val="heading 7"/>
    <w:basedOn w:val="Normal"/>
    <w:next w:val="Normal"/>
    <w:link w:val="Heading7Char"/>
    <w:uiPriority w:val="9"/>
    <w:unhideWhenUsed/>
    <w:qFormat/>
    <w:rsid w:val="006F163E"/>
    <w:pPr>
      <w:keepNext/>
      <w:keepLines/>
      <w:numPr>
        <w:ilvl w:val="6"/>
        <w:numId w:val="4"/>
      </w:numPr>
      <w:spacing w:before="240"/>
      <w:outlineLvl w:val="6"/>
    </w:pPr>
    <w:rPr>
      <w:rFonts w:eastAsia="SimSun" w:cs="Times New Roman"/>
      <w:b/>
      <w:i/>
      <w:iCs/>
    </w:rPr>
  </w:style>
  <w:style w:type="paragraph" w:styleId="Heading8">
    <w:name w:val="heading 8"/>
    <w:basedOn w:val="Normal"/>
    <w:next w:val="Normal"/>
    <w:link w:val="Heading8Char"/>
    <w:uiPriority w:val="9"/>
    <w:unhideWhenUsed/>
    <w:qFormat/>
    <w:rsid w:val="006F163E"/>
    <w:pPr>
      <w:keepNext/>
      <w:keepLines/>
      <w:numPr>
        <w:ilvl w:val="7"/>
        <w:numId w:val="4"/>
      </w:numPr>
      <w:spacing w:before="240"/>
      <w:outlineLvl w:val="7"/>
    </w:pPr>
    <w:rPr>
      <w:rFonts w:eastAsia="SimSun" w:cs="Times New Roman"/>
      <w:szCs w:val="20"/>
    </w:rPr>
  </w:style>
  <w:style w:type="paragraph" w:styleId="Heading9">
    <w:name w:val="heading 9"/>
    <w:basedOn w:val="Normal"/>
    <w:next w:val="Normal"/>
    <w:link w:val="Heading9Char"/>
    <w:uiPriority w:val="9"/>
    <w:unhideWhenUsed/>
    <w:qFormat/>
    <w:rsid w:val="006F163E"/>
    <w:pPr>
      <w:keepNext/>
      <w:keepLines/>
      <w:numPr>
        <w:ilvl w:val="8"/>
        <w:numId w:val="4"/>
      </w:numPr>
      <w:spacing w:before="240"/>
      <w:outlineLvl w:val="8"/>
    </w:pPr>
    <w:rPr>
      <w:rFonts w:eastAsia="SimSu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contextualSpacing/>
      <w:outlineLvl w:val="0"/>
    </w:pPr>
    <w:rPr>
      <w:rFonts w:eastAsia="SimSun"/>
      <w:b/>
      <w:spacing w:val="5"/>
      <w:sz w:val="36"/>
      <w:szCs w:val="52"/>
    </w:rPr>
  </w:style>
  <w:style w:type="character" w:customStyle="1" w:styleId="TitleChar">
    <w:name w:val="Title Char"/>
    <w:link w:val="Title"/>
    <w:uiPriority w:val="10"/>
    <w:rsid w:val="005B0D14"/>
    <w:rPr>
      <w:rFonts w:eastAsia="SimSun"/>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SimSun"/>
      <w:iCs/>
      <w:spacing w:val="15"/>
      <w:sz w:val="28"/>
    </w:rPr>
  </w:style>
  <w:style w:type="character" w:customStyle="1" w:styleId="SubtitleChar">
    <w:name w:val="Subtitle Char"/>
    <w:link w:val="Subtitle"/>
    <w:uiPriority w:val="11"/>
    <w:rsid w:val="00EB66B1"/>
    <w:rPr>
      <w:rFonts w:ascii="Arial" w:eastAsia="SimSun" w:hAnsi="Arial" w:cs="Arial"/>
      <w:iCs/>
      <w:spacing w:val="15"/>
      <w:sz w:val="28"/>
      <w:szCs w:val="24"/>
    </w:rPr>
  </w:style>
  <w:style w:type="character" w:customStyle="1" w:styleId="Heading1Char">
    <w:name w:val="Heading 1 Char"/>
    <w:link w:val="Heading1"/>
    <w:uiPriority w:val="9"/>
    <w:rsid w:val="005A62BD"/>
    <w:rPr>
      <w:rFonts w:eastAsia="SimSun"/>
      <w:b/>
      <w:bCs/>
      <w:sz w:val="24"/>
      <w:szCs w:val="28"/>
      <w:lang w:eastAsia="en-US"/>
    </w:rPr>
  </w:style>
  <w:style w:type="character" w:customStyle="1" w:styleId="Heading2Char">
    <w:name w:val="Heading 2 Char"/>
    <w:link w:val="Heading2"/>
    <w:uiPriority w:val="9"/>
    <w:rsid w:val="008C17EE"/>
    <w:rPr>
      <w:rFonts w:eastAsia="SimSun"/>
      <w:b/>
      <w:bCs/>
      <w:sz w:val="24"/>
      <w:szCs w:val="26"/>
      <w:lang w:eastAsia="en-US"/>
    </w:rPr>
  </w:style>
  <w:style w:type="character" w:customStyle="1" w:styleId="Heading3Char">
    <w:name w:val="Heading 3 Char"/>
    <w:link w:val="Heading3"/>
    <w:uiPriority w:val="9"/>
    <w:rsid w:val="009E13D0"/>
    <w:rPr>
      <w:b/>
      <w:sz w:val="24"/>
      <w:szCs w:val="24"/>
      <w:lang w:eastAsia="en-US"/>
    </w:rPr>
  </w:style>
  <w:style w:type="character" w:customStyle="1" w:styleId="Heading4Char">
    <w:name w:val="Heading 4 Char"/>
    <w:link w:val="Heading4"/>
    <w:uiPriority w:val="9"/>
    <w:rsid w:val="00EB66B1"/>
    <w:rPr>
      <w:rFonts w:eastAsia="SimSun"/>
      <w:b/>
      <w:bCs/>
      <w:iCs/>
      <w:sz w:val="24"/>
      <w:szCs w:val="24"/>
      <w:lang w:eastAsia="en-US"/>
    </w:rPr>
  </w:style>
  <w:style w:type="character" w:customStyle="1" w:styleId="Heading5Char">
    <w:name w:val="Heading 5 Char"/>
    <w:link w:val="Heading5"/>
    <w:uiPriority w:val="9"/>
    <w:rsid w:val="00273123"/>
    <w:rPr>
      <w:rFonts w:eastAsia="SimSun"/>
      <w:b/>
      <w:sz w:val="24"/>
      <w:szCs w:val="24"/>
      <w:lang w:eastAsia="en-US"/>
    </w:rPr>
  </w:style>
  <w:style w:type="character" w:customStyle="1" w:styleId="Heading6Char">
    <w:name w:val="Heading 6 Char"/>
    <w:link w:val="Heading6"/>
    <w:uiPriority w:val="9"/>
    <w:rsid w:val="006F163E"/>
    <w:rPr>
      <w:rFonts w:eastAsia="SimSun"/>
      <w:b/>
      <w:iCs/>
      <w:sz w:val="24"/>
      <w:szCs w:val="24"/>
      <w:lang w:eastAsia="en-U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rsid w:val="00B7564E"/>
    <w:rPr>
      <w:smallCaps/>
      <w:color w:val="auto"/>
      <w:u w:val="single"/>
    </w:rPr>
  </w:style>
  <w:style w:type="character" w:customStyle="1" w:styleId="Heading7Char">
    <w:name w:val="Heading 7 Char"/>
    <w:link w:val="Heading7"/>
    <w:uiPriority w:val="9"/>
    <w:rsid w:val="006F163E"/>
    <w:rPr>
      <w:rFonts w:eastAsia="SimSun" w:cs="Times New Roman"/>
      <w:b/>
      <w:i/>
      <w:iCs/>
      <w:sz w:val="24"/>
      <w:szCs w:val="24"/>
      <w:lang w:eastAsia="en-US"/>
    </w:rPr>
  </w:style>
  <w:style w:type="character" w:customStyle="1" w:styleId="Heading8Char">
    <w:name w:val="Heading 8 Char"/>
    <w:link w:val="Heading8"/>
    <w:uiPriority w:val="9"/>
    <w:rsid w:val="006F163E"/>
    <w:rPr>
      <w:rFonts w:eastAsia="SimSun" w:cs="Times New Roman"/>
      <w:sz w:val="24"/>
      <w:lang w:eastAsia="en-US"/>
    </w:rPr>
  </w:style>
  <w:style w:type="character" w:customStyle="1" w:styleId="Heading9Char">
    <w:name w:val="Heading 9 Char"/>
    <w:link w:val="Heading9"/>
    <w:uiPriority w:val="9"/>
    <w:rsid w:val="006F163E"/>
    <w:rPr>
      <w:rFonts w:eastAsia="SimSun" w:cs="Times New Roman"/>
      <w:i/>
      <w:iCs/>
      <w:sz w:val="24"/>
      <w:lang w:eastAsia="en-US"/>
    </w:rPr>
  </w:style>
  <w:style w:type="character" w:styleId="IntenseReference">
    <w:name w:val="Intense Reference"/>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SimSu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SimSun" w:cs="Times New Roman"/>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rPr>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unhideWhenUsed/>
    <w:rsid w:val="00890E90"/>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ind w:left="283"/>
    </w:pPr>
    <w:rPr>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rsid w:val="00B3772F"/>
    <w:rPr>
      <w:i/>
      <w:iCs/>
    </w:rPr>
  </w:style>
  <w:style w:type="paragraph" w:styleId="EnvelopeReturn">
    <w:name w:val="envelope return"/>
    <w:basedOn w:val="Normal"/>
    <w:uiPriority w:val="99"/>
    <w:semiHidden/>
    <w:unhideWhenUsed/>
    <w:rsid w:val="00B3772F"/>
    <w:rPr>
      <w:rFonts w:eastAsia="SimSu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cs="Times New Roman"/>
    </w:rPr>
  </w:style>
  <w:style w:type="character" w:customStyle="1" w:styleId="MessageHeaderChar">
    <w:name w:val="Message Header Char"/>
    <w:link w:val="MessageHeader"/>
    <w:uiPriority w:val="99"/>
    <w:semiHidden/>
    <w:rsid w:val="003400F1"/>
    <w:rPr>
      <w:rFonts w:eastAsia="SimSu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SimSun" w:cs="Times New Roman"/>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link w:val="BalloonText"/>
    <w:uiPriority w:val="99"/>
    <w:semiHidden/>
    <w:rsid w:val="00346FC5"/>
    <w:rPr>
      <w:rFonts w:ascii="Tahoma" w:hAnsi="Tahoma" w:cs="Tahoma"/>
      <w:sz w:val="16"/>
      <w:szCs w:val="16"/>
    </w:rPr>
  </w:style>
  <w:style w:type="character" w:styleId="CommentReference">
    <w:name w:val="annotation reference"/>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link w:val="CommentSubject"/>
    <w:uiPriority w:val="99"/>
    <w:semiHidden/>
    <w:rsid w:val="00915E6B"/>
    <w:rPr>
      <w:b/>
      <w:bCs/>
      <w:sz w:val="20"/>
      <w:szCs w:val="20"/>
    </w:rPr>
  </w:style>
  <w:style w:type="character" w:styleId="Hyperlink">
    <w:name w:val="Hyperlink"/>
    <w:uiPriority w:val="99"/>
    <w:unhideWhenUsed/>
    <w:rsid w:val="0013277C"/>
    <w:rPr>
      <w:color w:val="0000FF"/>
      <w:u w:val="single"/>
    </w:rPr>
  </w:style>
  <w:style w:type="paragraph" w:styleId="FootnoteText">
    <w:name w:val="footnote text"/>
    <w:aliases w:val="5_G,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rsid w:val="0013277C"/>
    <w:rPr>
      <w:sz w:val="20"/>
      <w:szCs w:val="20"/>
    </w:rPr>
  </w:style>
  <w:style w:type="character" w:customStyle="1" w:styleId="FootnoteTextChar">
    <w:name w:val="Footnote Text Char"/>
    <w:aliases w:val="5_G Char,Fußnotentextf Char,Fußnotentextr Char,stile 1 Char,Footnote Char,Footnote1 Char,Footnote2 Char,Footnote3 Char,Footnote4 Char,Footnote5 Char,Footnote6 Char,Footnote7 Char,Footnote8 Char,Footnote9 Char,Footnote10 Char"/>
    <w:link w:val="FootnoteText"/>
    <w:uiPriority w:val="99"/>
    <w:rsid w:val="0013277C"/>
    <w:rPr>
      <w:sz w:val="20"/>
      <w:szCs w:val="20"/>
    </w:rPr>
  </w:style>
  <w:style w:type="character" w:styleId="FootnoteReference">
    <w:name w:val="footnote reference"/>
    <w:aliases w:val="4_G,Fn Ref,Footnote Reference (Alt+R),Footnote Refernece,callout,Footnotes refss,Appel note de bas de p.,Footnote Reference Superscript,BVI fnr,Footnote Reference Number,Footnote Refernece + (Latein) Arial,10 pt,Blau"/>
    <w:uiPriority w:val="99"/>
    <w:unhideWhenUsed/>
    <w:qFormat/>
    <w:rsid w:val="0013277C"/>
    <w:rPr>
      <w:vertAlign w:val="superscript"/>
    </w:rPr>
  </w:style>
  <w:style w:type="numbering" w:customStyle="1" w:styleId="Style1">
    <w:name w:val="Style1"/>
    <w:uiPriority w:val="99"/>
    <w:rsid w:val="00365193"/>
    <w:pPr>
      <w:numPr>
        <w:numId w:val="3"/>
      </w:numPr>
    </w:pPr>
  </w:style>
  <w:style w:type="character" w:styleId="FollowedHyperlink">
    <w:name w:val="FollowedHyperlink"/>
    <w:uiPriority w:val="99"/>
    <w:semiHidden/>
    <w:unhideWhenUsed/>
    <w:rsid w:val="000336BD"/>
    <w:rPr>
      <w:color w:val="800080"/>
      <w:u w:val="single"/>
    </w:rPr>
  </w:style>
  <w:style w:type="character" w:styleId="EndnoteReference">
    <w:name w:val="endnote reference"/>
    <w:uiPriority w:val="99"/>
    <w:semiHidden/>
    <w:unhideWhenUsed/>
    <w:rsid w:val="00DC521C"/>
    <w:rPr>
      <w:vertAlign w:val="superscript"/>
    </w:rPr>
  </w:style>
  <w:style w:type="paragraph" w:styleId="Revision">
    <w:name w:val="Revision"/>
    <w:hidden/>
    <w:uiPriority w:val="99"/>
    <w:semiHidden/>
    <w:rsid w:val="00AA6745"/>
    <w:rPr>
      <w:sz w:val="24"/>
      <w:szCs w:val="24"/>
      <w:lang w:eastAsia="en-US"/>
    </w:rPr>
  </w:style>
  <w:style w:type="paragraph" w:styleId="TOC1">
    <w:name w:val="toc 1"/>
    <w:basedOn w:val="Normal"/>
    <w:next w:val="Normal"/>
    <w:autoRedefine/>
    <w:uiPriority w:val="39"/>
    <w:unhideWhenUsed/>
    <w:rsid w:val="00B732E9"/>
    <w:pPr>
      <w:spacing w:after="0"/>
      <w:ind w:left="567" w:hanging="567"/>
    </w:pPr>
  </w:style>
  <w:style w:type="paragraph" w:styleId="TOC2">
    <w:name w:val="toc 2"/>
    <w:basedOn w:val="Normal"/>
    <w:next w:val="Normal"/>
    <w:autoRedefine/>
    <w:uiPriority w:val="39"/>
    <w:unhideWhenUsed/>
    <w:rsid w:val="00B732E9"/>
    <w:pPr>
      <w:spacing w:after="0"/>
      <w:ind w:left="1134" w:hanging="567"/>
    </w:pPr>
  </w:style>
  <w:style w:type="paragraph" w:styleId="TOC3">
    <w:name w:val="toc 3"/>
    <w:basedOn w:val="Normal"/>
    <w:next w:val="Normal"/>
    <w:autoRedefine/>
    <w:uiPriority w:val="39"/>
    <w:unhideWhenUsed/>
    <w:rsid w:val="00B732E9"/>
    <w:pPr>
      <w:spacing w:after="0"/>
      <w:ind w:left="1985" w:hanging="851"/>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rPr>
      <w:i/>
      <w:sz w:val="20"/>
    </w:rPr>
  </w:style>
  <w:style w:type="character" w:customStyle="1" w:styleId="Un-numberedsubheadingChar">
    <w:name w:val="Un-numbered subheading Char"/>
    <w:link w:val="Un-numberedsubheading"/>
    <w:rsid w:val="00FF0B66"/>
    <w:rPr>
      <w:b/>
    </w:rPr>
  </w:style>
  <w:style w:type="character" w:customStyle="1" w:styleId="SourcereferenceChar">
    <w:name w:val="Source reference Char"/>
    <w:link w:val="Sourcereference"/>
    <w:rsid w:val="00EF3CB6"/>
    <w:rPr>
      <w:i/>
      <w:sz w:val="20"/>
    </w:rPr>
  </w:style>
  <w:style w:type="paragraph" w:styleId="ListParagraph">
    <w:name w:val="List Paragraph"/>
    <w:basedOn w:val="Normal"/>
    <w:uiPriority w:val="34"/>
    <w:qFormat/>
    <w:rsid w:val="00BC5855"/>
    <w:pPr>
      <w:ind w:left="720"/>
      <w:contextualSpacing/>
    </w:pPr>
  </w:style>
  <w:style w:type="character" w:styleId="HTMLCite">
    <w:name w:val="HTML Cite"/>
    <w:uiPriority w:val="99"/>
    <w:semiHidden/>
    <w:unhideWhenUsed/>
    <w:rsid w:val="006E3F49"/>
    <w:rPr>
      <w:i w:val="0"/>
      <w:iCs w:val="0"/>
      <w:color w:val="006621"/>
    </w:rPr>
  </w:style>
  <w:style w:type="paragraph" w:customStyle="1" w:styleId="HChG">
    <w:name w:val="_ H _Ch_G"/>
    <w:basedOn w:val="Normal"/>
    <w:next w:val="Normal"/>
    <w:rsid w:val="00E6194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NormalLeft">
    <w:name w:val="Normal Left"/>
    <w:basedOn w:val="Normal"/>
    <w:rsid w:val="00F76517"/>
    <w:pPr>
      <w:spacing w:before="120" w:after="240"/>
      <w:jc w:val="both"/>
    </w:pPr>
    <w:rPr>
      <w:rFonts w:ascii="Times New Roman" w:eastAsia="Times New Roman" w:hAnsi="Times New Roman" w:cs="Times New Roman"/>
      <w:szCs w:val="20"/>
      <w:lang w:val="cs-CZ" w:eastAsia="sk-SK"/>
    </w:rPr>
  </w:style>
  <w:style w:type="table" w:customStyle="1" w:styleId="Tabelrasterlicht1">
    <w:name w:val="Tabelraster licht1"/>
    <w:basedOn w:val="TableNormal"/>
    <w:uiPriority w:val="40"/>
    <w:rsid w:val="00F7651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Onopgemaaktetabel11">
    <w:name w:val="Onopgemaakte tabel 11"/>
    <w:basedOn w:val="TableNormal"/>
    <w:uiPriority w:val="41"/>
    <w:rsid w:val="00F7651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5144FC"/>
    <w:pPr>
      <w:autoSpaceDE w:val="0"/>
      <w:autoSpaceDN w:val="0"/>
      <w:adjustRightInd w:val="0"/>
    </w:pPr>
    <w:rPr>
      <w:rFonts w:ascii="Times New Roman" w:hAnsi="Times New Roman" w:cs="Times New Roman"/>
      <w:color w:val="000000"/>
      <w:sz w:val="24"/>
      <w:szCs w:val="24"/>
      <w:lang w:val="sk-SK" w:eastAsia="en-US"/>
    </w:rPr>
  </w:style>
  <w:style w:type="table" w:customStyle="1" w:styleId="Obyajntabuka21">
    <w:name w:val="Obyčajná tabuľka 21"/>
    <w:basedOn w:val="TableNormal"/>
    <w:uiPriority w:val="42"/>
    <w:rsid w:val="009F111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Zdroj">
    <w:name w:val="Zdroj"/>
    <w:basedOn w:val="Normal"/>
    <w:link w:val="ZdrojChar"/>
    <w:qFormat/>
    <w:rsid w:val="00370FBC"/>
    <w:pPr>
      <w:spacing w:after="200" w:line="276" w:lineRule="auto"/>
      <w:jc w:val="both"/>
    </w:pPr>
    <w:rPr>
      <w:rFonts w:asciiTheme="minorHAnsi" w:eastAsia="Times New Roman" w:hAnsiTheme="minorHAnsi"/>
      <w:sz w:val="20"/>
      <w:szCs w:val="18"/>
      <w:lang w:val="sk-SK" w:eastAsia="cs-CZ"/>
    </w:rPr>
  </w:style>
  <w:style w:type="character" w:customStyle="1" w:styleId="ZdrojChar">
    <w:name w:val="Zdroj Char"/>
    <w:basedOn w:val="DefaultParagraphFont"/>
    <w:link w:val="Zdroj"/>
    <w:rsid w:val="00370FBC"/>
    <w:rPr>
      <w:rFonts w:asciiTheme="minorHAnsi" w:eastAsia="Times New Roman" w:hAnsiTheme="minorHAnsi"/>
      <w:szCs w:val="18"/>
      <w:lang w:val="sk-SK" w:eastAsia="cs-CZ"/>
    </w:rPr>
  </w:style>
  <w:style w:type="paragraph" w:customStyle="1" w:styleId="Graf">
    <w:name w:val="Graf"/>
    <w:basedOn w:val="Normal"/>
    <w:link w:val="GrafChar"/>
    <w:qFormat/>
    <w:rsid w:val="00370FBC"/>
    <w:pPr>
      <w:spacing w:line="276" w:lineRule="auto"/>
      <w:jc w:val="both"/>
    </w:pPr>
    <w:rPr>
      <w:rFonts w:asciiTheme="minorHAnsi" w:eastAsia="Times New Roman" w:hAnsiTheme="minorHAnsi" w:cs="Times New Roman"/>
      <w:i/>
      <w:lang w:val="sk-SK" w:eastAsia="cs-CZ"/>
    </w:rPr>
  </w:style>
  <w:style w:type="character" w:customStyle="1" w:styleId="GrafChar">
    <w:name w:val="Graf Char"/>
    <w:basedOn w:val="DefaultParagraphFont"/>
    <w:link w:val="Graf"/>
    <w:rsid w:val="00370FBC"/>
    <w:rPr>
      <w:rFonts w:asciiTheme="minorHAnsi" w:eastAsia="Times New Roman" w:hAnsiTheme="minorHAnsi" w:cs="Times New Roman"/>
      <w:i/>
      <w:sz w:val="24"/>
      <w:szCs w:val="24"/>
      <w:lang w:val="sk-SK" w:eastAsia="cs-CZ"/>
    </w:rPr>
  </w:style>
  <w:style w:type="character" w:customStyle="1" w:styleId="UnresolvedMention1">
    <w:name w:val="Unresolved Mention1"/>
    <w:basedOn w:val="DefaultParagraphFont"/>
    <w:uiPriority w:val="99"/>
    <w:semiHidden/>
    <w:unhideWhenUsed/>
    <w:rsid w:val="00C2325D"/>
    <w:rPr>
      <w:color w:val="808080"/>
      <w:shd w:val="clear" w:color="auto" w:fill="E6E6E6"/>
    </w:rPr>
  </w:style>
  <w:style w:type="paragraph" w:customStyle="1" w:styleId="FootnoteRM">
    <w:name w:val="FootnoteRM"/>
    <w:basedOn w:val="FootnoteText"/>
    <w:link w:val="FootnoteRMChar"/>
    <w:qFormat/>
    <w:rsid w:val="00AB2EF5"/>
    <w:pPr>
      <w:spacing w:after="0"/>
      <w:ind w:left="284" w:hanging="284"/>
    </w:pPr>
  </w:style>
  <w:style w:type="character" w:customStyle="1" w:styleId="Nevyrieenzmienka1">
    <w:name w:val="Nevyriešená zmienka1"/>
    <w:basedOn w:val="DefaultParagraphFont"/>
    <w:uiPriority w:val="99"/>
    <w:semiHidden/>
    <w:unhideWhenUsed/>
    <w:rsid w:val="00AB2EF5"/>
    <w:rPr>
      <w:color w:val="808080"/>
      <w:shd w:val="clear" w:color="auto" w:fill="E6E6E6"/>
    </w:rPr>
  </w:style>
  <w:style w:type="character" w:customStyle="1" w:styleId="FootnoteRMChar">
    <w:name w:val="FootnoteRM Char"/>
    <w:basedOn w:val="FootnoteTextChar"/>
    <w:link w:val="FootnoteRM"/>
    <w:rsid w:val="00AB2EF5"/>
    <w:rPr>
      <w:sz w:val="20"/>
      <w:szCs w:val="20"/>
      <w:lang w:eastAsia="en-US"/>
    </w:rPr>
  </w:style>
  <w:style w:type="paragraph" w:customStyle="1" w:styleId="SingleTxtG">
    <w:name w:val="_ Single Txt_G"/>
    <w:basedOn w:val="Normal"/>
    <w:link w:val="SingleTxtGChar"/>
    <w:rsid w:val="005034C1"/>
    <w:pPr>
      <w:suppressAutoHyphens/>
      <w:spacing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5034C1"/>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B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555">
      <w:bodyDiv w:val="1"/>
      <w:marLeft w:val="0"/>
      <w:marRight w:val="0"/>
      <w:marTop w:val="0"/>
      <w:marBottom w:val="0"/>
      <w:divBdr>
        <w:top w:val="none" w:sz="0" w:space="0" w:color="auto"/>
        <w:left w:val="none" w:sz="0" w:space="0" w:color="auto"/>
        <w:bottom w:val="none" w:sz="0" w:space="0" w:color="auto"/>
        <w:right w:val="none" w:sz="0" w:space="0" w:color="auto"/>
      </w:divBdr>
    </w:div>
    <w:div w:id="20396359">
      <w:bodyDiv w:val="1"/>
      <w:marLeft w:val="0"/>
      <w:marRight w:val="0"/>
      <w:marTop w:val="0"/>
      <w:marBottom w:val="0"/>
      <w:divBdr>
        <w:top w:val="none" w:sz="0" w:space="0" w:color="auto"/>
        <w:left w:val="none" w:sz="0" w:space="0" w:color="auto"/>
        <w:bottom w:val="none" w:sz="0" w:space="0" w:color="auto"/>
        <w:right w:val="none" w:sz="0" w:space="0" w:color="auto"/>
      </w:divBdr>
    </w:div>
    <w:div w:id="54277927">
      <w:bodyDiv w:val="1"/>
      <w:marLeft w:val="0"/>
      <w:marRight w:val="0"/>
      <w:marTop w:val="0"/>
      <w:marBottom w:val="0"/>
      <w:divBdr>
        <w:top w:val="none" w:sz="0" w:space="0" w:color="auto"/>
        <w:left w:val="none" w:sz="0" w:space="0" w:color="auto"/>
        <w:bottom w:val="none" w:sz="0" w:space="0" w:color="auto"/>
        <w:right w:val="none" w:sz="0" w:space="0" w:color="auto"/>
      </w:divBdr>
    </w:div>
    <w:div w:id="100029019">
      <w:bodyDiv w:val="1"/>
      <w:marLeft w:val="0"/>
      <w:marRight w:val="0"/>
      <w:marTop w:val="0"/>
      <w:marBottom w:val="0"/>
      <w:divBdr>
        <w:top w:val="none" w:sz="0" w:space="0" w:color="auto"/>
        <w:left w:val="none" w:sz="0" w:space="0" w:color="auto"/>
        <w:bottom w:val="none" w:sz="0" w:space="0" w:color="auto"/>
        <w:right w:val="none" w:sz="0" w:space="0" w:color="auto"/>
      </w:divBdr>
    </w:div>
    <w:div w:id="154272169">
      <w:bodyDiv w:val="1"/>
      <w:marLeft w:val="0"/>
      <w:marRight w:val="0"/>
      <w:marTop w:val="0"/>
      <w:marBottom w:val="0"/>
      <w:divBdr>
        <w:top w:val="none" w:sz="0" w:space="0" w:color="auto"/>
        <w:left w:val="none" w:sz="0" w:space="0" w:color="auto"/>
        <w:bottom w:val="none" w:sz="0" w:space="0" w:color="auto"/>
        <w:right w:val="none" w:sz="0" w:space="0" w:color="auto"/>
      </w:divBdr>
    </w:div>
    <w:div w:id="184439992">
      <w:bodyDiv w:val="1"/>
      <w:marLeft w:val="0"/>
      <w:marRight w:val="0"/>
      <w:marTop w:val="0"/>
      <w:marBottom w:val="0"/>
      <w:divBdr>
        <w:top w:val="none" w:sz="0" w:space="0" w:color="auto"/>
        <w:left w:val="none" w:sz="0" w:space="0" w:color="auto"/>
        <w:bottom w:val="none" w:sz="0" w:space="0" w:color="auto"/>
        <w:right w:val="none" w:sz="0" w:space="0" w:color="auto"/>
      </w:divBdr>
    </w:div>
    <w:div w:id="247465172">
      <w:bodyDiv w:val="1"/>
      <w:marLeft w:val="0"/>
      <w:marRight w:val="0"/>
      <w:marTop w:val="0"/>
      <w:marBottom w:val="0"/>
      <w:divBdr>
        <w:top w:val="none" w:sz="0" w:space="0" w:color="auto"/>
        <w:left w:val="none" w:sz="0" w:space="0" w:color="auto"/>
        <w:bottom w:val="none" w:sz="0" w:space="0" w:color="auto"/>
        <w:right w:val="none" w:sz="0" w:space="0" w:color="auto"/>
      </w:divBdr>
    </w:div>
    <w:div w:id="290328830">
      <w:bodyDiv w:val="1"/>
      <w:marLeft w:val="0"/>
      <w:marRight w:val="0"/>
      <w:marTop w:val="0"/>
      <w:marBottom w:val="0"/>
      <w:divBdr>
        <w:top w:val="none" w:sz="0" w:space="0" w:color="auto"/>
        <w:left w:val="none" w:sz="0" w:space="0" w:color="auto"/>
        <w:bottom w:val="none" w:sz="0" w:space="0" w:color="auto"/>
        <w:right w:val="none" w:sz="0" w:space="0" w:color="auto"/>
      </w:divBdr>
    </w:div>
    <w:div w:id="305203708">
      <w:bodyDiv w:val="1"/>
      <w:marLeft w:val="0"/>
      <w:marRight w:val="0"/>
      <w:marTop w:val="0"/>
      <w:marBottom w:val="0"/>
      <w:divBdr>
        <w:top w:val="none" w:sz="0" w:space="0" w:color="auto"/>
        <w:left w:val="none" w:sz="0" w:space="0" w:color="auto"/>
        <w:bottom w:val="none" w:sz="0" w:space="0" w:color="auto"/>
        <w:right w:val="none" w:sz="0" w:space="0" w:color="auto"/>
      </w:divBdr>
    </w:div>
    <w:div w:id="311567120">
      <w:bodyDiv w:val="1"/>
      <w:marLeft w:val="0"/>
      <w:marRight w:val="0"/>
      <w:marTop w:val="0"/>
      <w:marBottom w:val="0"/>
      <w:divBdr>
        <w:top w:val="none" w:sz="0" w:space="0" w:color="auto"/>
        <w:left w:val="none" w:sz="0" w:space="0" w:color="auto"/>
        <w:bottom w:val="none" w:sz="0" w:space="0" w:color="auto"/>
        <w:right w:val="none" w:sz="0" w:space="0" w:color="auto"/>
      </w:divBdr>
    </w:div>
    <w:div w:id="316497706">
      <w:bodyDiv w:val="1"/>
      <w:marLeft w:val="0"/>
      <w:marRight w:val="0"/>
      <w:marTop w:val="0"/>
      <w:marBottom w:val="0"/>
      <w:divBdr>
        <w:top w:val="none" w:sz="0" w:space="0" w:color="auto"/>
        <w:left w:val="none" w:sz="0" w:space="0" w:color="auto"/>
        <w:bottom w:val="none" w:sz="0" w:space="0" w:color="auto"/>
        <w:right w:val="none" w:sz="0" w:space="0" w:color="auto"/>
      </w:divBdr>
    </w:div>
    <w:div w:id="378549667">
      <w:bodyDiv w:val="1"/>
      <w:marLeft w:val="0"/>
      <w:marRight w:val="0"/>
      <w:marTop w:val="0"/>
      <w:marBottom w:val="0"/>
      <w:divBdr>
        <w:top w:val="none" w:sz="0" w:space="0" w:color="auto"/>
        <w:left w:val="none" w:sz="0" w:space="0" w:color="auto"/>
        <w:bottom w:val="none" w:sz="0" w:space="0" w:color="auto"/>
        <w:right w:val="none" w:sz="0" w:space="0" w:color="auto"/>
      </w:divBdr>
    </w:div>
    <w:div w:id="414858436">
      <w:bodyDiv w:val="1"/>
      <w:marLeft w:val="0"/>
      <w:marRight w:val="0"/>
      <w:marTop w:val="0"/>
      <w:marBottom w:val="0"/>
      <w:divBdr>
        <w:top w:val="none" w:sz="0" w:space="0" w:color="auto"/>
        <w:left w:val="none" w:sz="0" w:space="0" w:color="auto"/>
        <w:bottom w:val="none" w:sz="0" w:space="0" w:color="auto"/>
        <w:right w:val="none" w:sz="0" w:space="0" w:color="auto"/>
      </w:divBdr>
    </w:div>
    <w:div w:id="541942597">
      <w:bodyDiv w:val="1"/>
      <w:marLeft w:val="0"/>
      <w:marRight w:val="0"/>
      <w:marTop w:val="0"/>
      <w:marBottom w:val="0"/>
      <w:divBdr>
        <w:top w:val="none" w:sz="0" w:space="0" w:color="auto"/>
        <w:left w:val="none" w:sz="0" w:space="0" w:color="auto"/>
        <w:bottom w:val="none" w:sz="0" w:space="0" w:color="auto"/>
        <w:right w:val="none" w:sz="0" w:space="0" w:color="auto"/>
      </w:divBdr>
    </w:div>
    <w:div w:id="593826630">
      <w:bodyDiv w:val="1"/>
      <w:marLeft w:val="0"/>
      <w:marRight w:val="0"/>
      <w:marTop w:val="0"/>
      <w:marBottom w:val="0"/>
      <w:divBdr>
        <w:top w:val="none" w:sz="0" w:space="0" w:color="auto"/>
        <w:left w:val="none" w:sz="0" w:space="0" w:color="auto"/>
        <w:bottom w:val="none" w:sz="0" w:space="0" w:color="auto"/>
        <w:right w:val="none" w:sz="0" w:space="0" w:color="auto"/>
      </w:divBdr>
    </w:div>
    <w:div w:id="622686369">
      <w:bodyDiv w:val="1"/>
      <w:marLeft w:val="0"/>
      <w:marRight w:val="0"/>
      <w:marTop w:val="0"/>
      <w:marBottom w:val="0"/>
      <w:divBdr>
        <w:top w:val="none" w:sz="0" w:space="0" w:color="auto"/>
        <w:left w:val="none" w:sz="0" w:space="0" w:color="auto"/>
        <w:bottom w:val="none" w:sz="0" w:space="0" w:color="auto"/>
        <w:right w:val="none" w:sz="0" w:space="0" w:color="auto"/>
      </w:divBdr>
    </w:div>
    <w:div w:id="642194392">
      <w:bodyDiv w:val="1"/>
      <w:marLeft w:val="0"/>
      <w:marRight w:val="0"/>
      <w:marTop w:val="0"/>
      <w:marBottom w:val="0"/>
      <w:divBdr>
        <w:top w:val="none" w:sz="0" w:space="0" w:color="auto"/>
        <w:left w:val="none" w:sz="0" w:space="0" w:color="auto"/>
        <w:bottom w:val="none" w:sz="0" w:space="0" w:color="auto"/>
        <w:right w:val="none" w:sz="0" w:space="0" w:color="auto"/>
      </w:divBdr>
    </w:div>
    <w:div w:id="663709186">
      <w:bodyDiv w:val="1"/>
      <w:marLeft w:val="0"/>
      <w:marRight w:val="0"/>
      <w:marTop w:val="0"/>
      <w:marBottom w:val="0"/>
      <w:divBdr>
        <w:top w:val="none" w:sz="0" w:space="0" w:color="auto"/>
        <w:left w:val="none" w:sz="0" w:space="0" w:color="auto"/>
        <w:bottom w:val="none" w:sz="0" w:space="0" w:color="auto"/>
        <w:right w:val="none" w:sz="0" w:space="0" w:color="auto"/>
      </w:divBdr>
    </w:div>
    <w:div w:id="701979546">
      <w:bodyDiv w:val="1"/>
      <w:marLeft w:val="0"/>
      <w:marRight w:val="0"/>
      <w:marTop w:val="0"/>
      <w:marBottom w:val="0"/>
      <w:divBdr>
        <w:top w:val="none" w:sz="0" w:space="0" w:color="auto"/>
        <w:left w:val="none" w:sz="0" w:space="0" w:color="auto"/>
        <w:bottom w:val="none" w:sz="0" w:space="0" w:color="auto"/>
        <w:right w:val="none" w:sz="0" w:space="0" w:color="auto"/>
      </w:divBdr>
    </w:div>
    <w:div w:id="783043368">
      <w:bodyDiv w:val="1"/>
      <w:marLeft w:val="0"/>
      <w:marRight w:val="0"/>
      <w:marTop w:val="0"/>
      <w:marBottom w:val="0"/>
      <w:divBdr>
        <w:top w:val="none" w:sz="0" w:space="0" w:color="auto"/>
        <w:left w:val="none" w:sz="0" w:space="0" w:color="auto"/>
        <w:bottom w:val="none" w:sz="0" w:space="0" w:color="auto"/>
        <w:right w:val="none" w:sz="0" w:space="0" w:color="auto"/>
      </w:divBdr>
    </w:div>
    <w:div w:id="833305576">
      <w:bodyDiv w:val="1"/>
      <w:marLeft w:val="0"/>
      <w:marRight w:val="0"/>
      <w:marTop w:val="0"/>
      <w:marBottom w:val="0"/>
      <w:divBdr>
        <w:top w:val="none" w:sz="0" w:space="0" w:color="auto"/>
        <w:left w:val="none" w:sz="0" w:space="0" w:color="auto"/>
        <w:bottom w:val="none" w:sz="0" w:space="0" w:color="auto"/>
        <w:right w:val="none" w:sz="0" w:space="0" w:color="auto"/>
      </w:divBdr>
    </w:div>
    <w:div w:id="855003826">
      <w:bodyDiv w:val="1"/>
      <w:marLeft w:val="0"/>
      <w:marRight w:val="0"/>
      <w:marTop w:val="0"/>
      <w:marBottom w:val="0"/>
      <w:divBdr>
        <w:top w:val="none" w:sz="0" w:space="0" w:color="auto"/>
        <w:left w:val="none" w:sz="0" w:space="0" w:color="auto"/>
        <w:bottom w:val="none" w:sz="0" w:space="0" w:color="auto"/>
        <w:right w:val="none" w:sz="0" w:space="0" w:color="auto"/>
      </w:divBdr>
    </w:div>
    <w:div w:id="968171452">
      <w:bodyDiv w:val="1"/>
      <w:marLeft w:val="0"/>
      <w:marRight w:val="0"/>
      <w:marTop w:val="0"/>
      <w:marBottom w:val="0"/>
      <w:divBdr>
        <w:top w:val="none" w:sz="0" w:space="0" w:color="auto"/>
        <w:left w:val="none" w:sz="0" w:space="0" w:color="auto"/>
        <w:bottom w:val="none" w:sz="0" w:space="0" w:color="auto"/>
        <w:right w:val="none" w:sz="0" w:space="0" w:color="auto"/>
      </w:divBdr>
    </w:div>
    <w:div w:id="1002270393">
      <w:bodyDiv w:val="1"/>
      <w:marLeft w:val="0"/>
      <w:marRight w:val="0"/>
      <w:marTop w:val="0"/>
      <w:marBottom w:val="0"/>
      <w:divBdr>
        <w:top w:val="none" w:sz="0" w:space="0" w:color="auto"/>
        <w:left w:val="none" w:sz="0" w:space="0" w:color="auto"/>
        <w:bottom w:val="none" w:sz="0" w:space="0" w:color="auto"/>
        <w:right w:val="none" w:sz="0" w:space="0" w:color="auto"/>
      </w:divBdr>
    </w:div>
    <w:div w:id="1008365561">
      <w:bodyDiv w:val="1"/>
      <w:marLeft w:val="0"/>
      <w:marRight w:val="0"/>
      <w:marTop w:val="0"/>
      <w:marBottom w:val="0"/>
      <w:divBdr>
        <w:top w:val="none" w:sz="0" w:space="0" w:color="auto"/>
        <w:left w:val="none" w:sz="0" w:space="0" w:color="auto"/>
        <w:bottom w:val="none" w:sz="0" w:space="0" w:color="auto"/>
        <w:right w:val="none" w:sz="0" w:space="0" w:color="auto"/>
      </w:divBdr>
    </w:div>
    <w:div w:id="1040394152">
      <w:bodyDiv w:val="1"/>
      <w:marLeft w:val="0"/>
      <w:marRight w:val="0"/>
      <w:marTop w:val="0"/>
      <w:marBottom w:val="0"/>
      <w:divBdr>
        <w:top w:val="none" w:sz="0" w:space="0" w:color="auto"/>
        <w:left w:val="none" w:sz="0" w:space="0" w:color="auto"/>
        <w:bottom w:val="none" w:sz="0" w:space="0" w:color="auto"/>
        <w:right w:val="none" w:sz="0" w:space="0" w:color="auto"/>
      </w:divBdr>
    </w:div>
    <w:div w:id="1104109529">
      <w:bodyDiv w:val="1"/>
      <w:marLeft w:val="0"/>
      <w:marRight w:val="0"/>
      <w:marTop w:val="0"/>
      <w:marBottom w:val="0"/>
      <w:divBdr>
        <w:top w:val="none" w:sz="0" w:space="0" w:color="auto"/>
        <w:left w:val="none" w:sz="0" w:space="0" w:color="auto"/>
        <w:bottom w:val="none" w:sz="0" w:space="0" w:color="auto"/>
        <w:right w:val="none" w:sz="0" w:space="0" w:color="auto"/>
      </w:divBdr>
    </w:div>
    <w:div w:id="1154448437">
      <w:bodyDiv w:val="1"/>
      <w:marLeft w:val="0"/>
      <w:marRight w:val="0"/>
      <w:marTop w:val="0"/>
      <w:marBottom w:val="0"/>
      <w:divBdr>
        <w:top w:val="none" w:sz="0" w:space="0" w:color="auto"/>
        <w:left w:val="none" w:sz="0" w:space="0" w:color="auto"/>
        <w:bottom w:val="none" w:sz="0" w:space="0" w:color="auto"/>
        <w:right w:val="none" w:sz="0" w:space="0" w:color="auto"/>
      </w:divBdr>
    </w:div>
    <w:div w:id="1167282504">
      <w:bodyDiv w:val="1"/>
      <w:marLeft w:val="0"/>
      <w:marRight w:val="0"/>
      <w:marTop w:val="0"/>
      <w:marBottom w:val="0"/>
      <w:divBdr>
        <w:top w:val="none" w:sz="0" w:space="0" w:color="auto"/>
        <w:left w:val="none" w:sz="0" w:space="0" w:color="auto"/>
        <w:bottom w:val="none" w:sz="0" w:space="0" w:color="auto"/>
        <w:right w:val="none" w:sz="0" w:space="0" w:color="auto"/>
      </w:divBdr>
    </w:div>
    <w:div w:id="1218129494">
      <w:bodyDiv w:val="1"/>
      <w:marLeft w:val="0"/>
      <w:marRight w:val="0"/>
      <w:marTop w:val="0"/>
      <w:marBottom w:val="0"/>
      <w:divBdr>
        <w:top w:val="none" w:sz="0" w:space="0" w:color="auto"/>
        <w:left w:val="none" w:sz="0" w:space="0" w:color="auto"/>
        <w:bottom w:val="none" w:sz="0" w:space="0" w:color="auto"/>
        <w:right w:val="none" w:sz="0" w:space="0" w:color="auto"/>
      </w:divBdr>
    </w:div>
    <w:div w:id="1219702879">
      <w:bodyDiv w:val="1"/>
      <w:marLeft w:val="0"/>
      <w:marRight w:val="0"/>
      <w:marTop w:val="0"/>
      <w:marBottom w:val="0"/>
      <w:divBdr>
        <w:top w:val="none" w:sz="0" w:space="0" w:color="auto"/>
        <w:left w:val="none" w:sz="0" w:space="0" w:color="auto"/>
        <w:bottom w:val="none" w:sz="0" w:space="0" w:color="auto"/>
        <w:right w:val="none" w:sz="0" w:space="0" w:color="auto"/>
      </w:divBdr>
    </w:div>
    <w:div w:id="1246451379">
      <w:bodyDiv w:val="1"/>
      <w:marLeft w:val="0"/>
      <w:marRight w:val="0"/>
      <w:marTop w:val="0"/>
      <w:marBottom w:val="0"/>
      <w:divBdr>
        <w:top w:val="none" w:sz="0" w:space="0" w:color="auto"/>
        <w:left w:val="none" w:sz="0" w:space="0" w:color="auto"/>
        <w:bottom w:val="none" w:sz="0" w:space="0" w:color="auto"/>
        <w:right w:val="none" w:sz="0" w:space="0" w:color="auto"/>
      </w:divBdr>
    </w:div>
    <w:div w:id="1258715189">
      <w:bodyDiv w:val="1"/>
      <w:marLeft w:val="0"/>
      <w:marRight w:val="0"/>
      <w:marTop w:val="0"/>
      <w:marBottom w:val="0"/>
      <w:divBdr>
        <w:top w:val="none" w:sz="0" w:space="0" w:color="auto"/>
        <w:left w:val="none" w:sz="0" w:space="0" w:color="auto"/>
        <w:bottom w:val="none" w:sz="0" w:space="0" w:color="auto"/>
        <w:right w:val="none" w:sz="0" w:space="0" w:color="auto"/>
      </w:divBdr>
    </w:div>
    <w:div w:id="1302690559">
      <w:bodyDiv w:val="1"/>
      <w:marLeft w:val="0"/>
      <w:marRight w:val="0"/>
      <w:marTop w:val="0"/>
      <w:marBottom w:val="0"/>
      <w:divBdr>
        <w:top w:val="none" w:sz="0" w:space="0" w:color="auto"/>
        <w:left w:val="none" w:sz="0" w:space="0" w:color="auto"/>
        <w:bottom w:val="none" w:sz="0" w:space="0" w:color="auto"/>
        <w:right w:val="none" w:sz="0" w:space="0" w:color="auto"/>
      </w:divBdr>
    </w:div>
    <w:div w:id="1307659905">
      <w:bodyDiv w:val="1"/>
      <w:marLeft w:val="0"/>
      <w:marRight w:val="0"/>
      <w:marTop w:val="0"/>
      <w:marBottom w:val="0"/>
      <w:divBdr>
        <w:top w:val="none" w:sz="0" w:space="0" w:color="auto"/>
        <w:left w:val="none" w:sz="0" w:space="0" w:color="auto"/>
        <w:bottom w:val="none" w:sz="0" w:space="0" w:color="auto"/>
        <w:right w:val="none" w:sz="0" w:space="0" w:color="auto"/>
      </w:divBdr>
    </w:div>
    <w:div w:id="1332878273">
      <w:bodyDiv w:val="1"/>
      <w:marLeft w:val="0"/>
      <w:marRight w:val="0"/>
      <w:marTop w:val="0"/>
      <w:marBottom w:val="0"/>
      <w:divBdr>
        <w:top w:val="none" w:sz="0" w:space="0" w:color="auto"/>
        <w:left w:val="none" w:sz="0" w:space="0" w:color="auto"/>
        <w:bottom w:val="none" w:sz="0" w:space="0" w:color="auto"/>
        <w:right w:val="none" w:sz="0" w:space="0" w:color="auto"/>
      </w:divBdr>
    </w:div>
    <w:div w:id="1336766407">
      <w:bodyDiv w:val="1"/>
      <w:marLeft w:val="0"/>
      <w:marRight w:val="0"/>
      <w:marTop w:val="0"/>
      <w:marBottom w:val="0"/>
      <w:divBdr>
        <w:top w:val="none" w:sz="0" w:space="0" w:color="auto"/>
        <w:left w:val="none" w:sz="0" w:space="0" w:color="auto"/>
        <w:bottom w:val="none" w:sz="0" w:space="0" w:color="auto"/>
        <w:right w:val="none" w:sz="0" w:space="0" w:color="auto"/>
      </w:divBdr>
    </w:div>
    <w:div w:id="1481918159">
      <w:bodyDiv w:val="1"/>
      <w:marLeft w:val="0"/>
      <w:marRight w:val="0"/>
      <w:marTop w:val="0"/>
      <w:marBottom w:val="0"/>
      <w:divBdr>
        <w:top w:val="none" w:sz="0" w:space="0" w:color="auto"/>
        <w:left w:val="none" w:sz="0" w:space="0" w:color="auto"/>
        <w:bottom w:val="none" w:sz="0" w:space="0" w:color="auto"/>
        <w:right w:val="none" w:sz="0" w:space="0" w:color="auto"/>
      </w:divBdr>
    </w:div>
    <w:div w:id="1530410428">
      <w:bodyDiv w:val="1"/>
      <w:marLeft w:val="0"/>
      <w:marRight w:val="0"/>
      <w:marTop w:val="0"/>
      <w:marBottom w:val="0"/>
      <w:divBdr>
        <w:top w:val="none" w:sz="0" w:space="0" w:color="auto"/>
        <w:left w:val="none" w:sz="0" w:space="0" w:color="auto"/>
        <w:bottom w:val="none" w:sz="0" w:space="0" w:color="auto"/>
        <w:right w:val="none" w:sz="0" w:space="0" w:color="auto"/>
      </w:divBdr>
    </w:div>
    <w:div w:id="1635209635">
      <w:bodyDiv w:val="1"/>
      <w:marLeft w:val="0"/>
      <w:marRight w:val="0"/>
      <w:marTop w:val="0"/>
      <w:marBottom w:val="0"/>
      <w:divBdr>
        <w:top w:val="none" w:sz="0" w:space="0" w:color="auto"/>
        <w:left w:val="none" w:sz="0" w:space="0" w:color="auto"/>
        <w:bottom w:val="none" w:sz="0" w:space="0" w:color="auto"/>
        <w:right w:val="none" w:sz="0" w:space="0" w:color="auto"/>
      </w:divBdr>
    </w:div>
    <w:div w:id="1667980961">
      <w:bodyDiv w:val="1"/>
      <w:marLeft w:val="0"/>
      <w:marRight w:val="0"/>
      <w:marTop w:val="0"/>
      <w:marBottom w:val="0"/>
      <w:divBdr>
        <w:top w:val="none" w:sz="0" w:space="0" w:color="auto"/>
        <w:left w:val="none" w:sz="0" w:space="0" w:color="auto"/>
        <w:bottom w:val="none" w:sz="0" w:space="0" w:color="auto"/>
        <w:right w:val="none" w:sz="0" w:space="0" w:color="auto"/>
      </w:divBdr>
    </w:div>
    <w:div w:id="1718697234">
      <w:bodyDiv w:val="1"/>
      <w:marLeft w:val="0"/>
      <w:marRight w:val="0"/>
      <w:marTop w:val="0"/>
      <w:marBottom w:val="0"/>
      <w:divBdr>
        <w:top w:val="none" w:sz="0" w:space="0" w:color="auto"/>
        <w:left w:val="none" w:sz="0" w:space="0" w:color="auto"/>
        <w:bottom w:val="none" w:sz="0" w:space="0" w:color="auto"/>
        <w:right w:val="none" w:sz="0" w:space="0" w:color="auto"/>
      </w:divBdr>
    </w:div>
    <w:div w:id="1722292760">
      <w:bodyDiv w:val="1"/>
      <w:marLeft w:val="0"/>
      <w:marRight w:val="0"/>
      <w:marTop w:val="0"/>
      <w:marBottom w:val="0"/>
      <w:divBdr>
        <w:top w:val="none" w:sz="0" w:space="0" w:color="auto"/>
        <w:left w:val="none" w:sz="0" w:space="0" w:color="auto"/>
        <w:bottom w:val="none" w:sz="0" w:space="0" w:color="auto"/>
        <w:right w:val="none" w:sz="0" w:space="0" w:color="auto"/>
      </w:divBdr>
    </w:div>
    <w:div w:id="1743869960">
      <w:bodyDiv w:val="1"/>
      <w:marLeft w:val="0"/>
      <w:marRight w:val="0"/>
      <w:marTop w:val="0"/>
      <w:marBottom w:val="0"/>
      <w:divBdr>
        <w:top w:val="none" w:sz="0" w:space="0" w:color="auto"/>
        <w:left w:val="none" w:sz="0" w:space="0" w:color="auto"/>
        <w:bottom w:val="none" w:sz="0" w:space="0" w:color="auto"/>
        <w:right w:val="none" w:sz="0" w:space="0" w:color="auto"/>
      </w:divBdr>
    </w:div>
    <w:div w:id="1754281189">
      <w:bodyDiv w:val="1"/>
      <w:marLeft w:val="0"/>
      <w:marRight w:val="0"/>
      <w:marTop w:val="0"/>
      <w:marBottom w:val="0"/>
      <w:divBdr>
        <w:top w:val="none" w:sz="0" w:space="0" w:color="auto"/>
        <w:left w:val="none" w:sz="0" w:space="0" w:color="auto"/>
        <w:bottom w:val="none" w:sz="0" w:space="0" w:color="auto"/>
        <w:right w:val="none" w:sz="0" w:space="0" w:color="auto"/>
      </w:divBdr>
    </w:div>
    <w:div w:id="1776634748">
      <w:bodyDiv w:val="1"/>
      <w:marLeft w:val="0"/>
      <w:marRight w:val="0"/>
      <w:marTop w:val="0"/>
      <w:marBottom w:val="0"/>
      <w:divBdr>
        <w:top w:val="none" w:sz="0" w:space="0" w:color="auto"/>
        <w:left w:val="none" w:sz="0" w:space="0" w:color="auto"/>
        <w:bottom w:val="none" w:sz="0" w:space="0" w:color="auto"/>
        <w:right w:val="none" w:sz="0" w:space="0" w:color="auto"/>
      </w:divBdr>
    </w:div>
    <w:div w:id="1832987874">
      <w:bodyDiv w:val="1"/>
      <w:marLeft w:val="0"/>
      <w:marRight w:val="0"/>
      <w:marTop w:val="0"/>
      <w:marBottom w:val="0"/>
      <w:divBdr>
        <w:top w:val="none" w:sz="0" w:space="0" w:color="auto"/>
        <w:left w:val="none" w:sz="0" w:space="0" w:color="auto"/>
        <w:bottom w:val="none" w:sz="0" w:space="0" w:color="auto"/>
        <w:right w:val="none" w:sz="0" w:space="0" w:color="auto"/>
      </w:divBdr>
    </w:div>
    <w:div w:id="1860050079">
      <w:bodyDiv w:val="1"/>
      <w:marLeft w:val="0"/>
      <w:marRight w:val="0"/>
      <w:marTop w:val="0"/>
      <w:marBottom w:val="0"/>
      <w:divBdr>
        <w:top w:val="none" w:sz="0" w:space="0" w:color="auto"/>
        <w:left w:val="none" w:sz="0" w:space="0" w:color="auto"/>
        <w:bottom w:val="none" w:sz="0" w:space="0" w:color="auto"/>
        <w:right w:val="none" w:sz="0" w:space="0" w:color="auto"/>
      </w:divBdr>
    </w:div>
    <w:div w:id="1881622899">
      <w:bodyDiv w:val="1"/>
      <w:marLeft w:val="0"/>
      <w:marRight w:val="0"/>
      <w:marTop w:val="0"/>
      <w:marBottom w:val="0"/>
      <w:divBdr>
        <w:top w:val="none" w:sz="0" w:space="0" w:color="auto"/>
        <w:left w:val="none" w:sz="0" w:space="0" w:color="auto"/>
        <w:bottom w:val="none" w:sz="0" w:space="0" w:color="auto"/>
        <w:right w:val="none" w:sz="0" w:space="0" w:color="auto"/>
      </w:divBdr>
    </w:div>
    <w:div w:id="1972859228">
      <w:bodyDiv w:val="1"/>
      <w:marLeft w:val="0"/>
      <w:marRight w:val="0"/>
      <w:marTop w:val="0"/>
      <w:marBottom w:val="0"/>
      <w:divBdr>
        <w:top w:val="none" w:sz="0" w:space="0" w:color="auto"/>
        <w:left w:val="none" w:sz="0" w:space="0" w:color="auto"/>
        <w:bottom w:val="none" w:sz="0" w:space="0" w:color="auto"/>
        <w:right w:val="none" w:sz="0" w:space="0" w:color="auto"/>
      </w:divBdr>
    </w:div>
    <w:div w:id="1975404249">
      <w:bodyDiv w:val="1"/>
      <w:marLeft w:val="0"/>
      <w:marRight w:val="0"/>
      <w:marTop w:val="0"/>
      <w:marBottom w:val="0"/>
      <w:divBdr>
        <w:top w:val="none" w:sz="0" w:space="0" w:color="auto"/>
        <w:left w:val="none" w:sz="0" w:space="0" w:color="auto"/>
        <w:bottom w:val="none" w:sz="0" w:space="0" w:color="auto"/>
        <w:right w:val="none" w:sz="0" w:space="0" w:color="auto"/>
      </w:divBdr>
    </w:div>
    <w:div w:id="2023507175">
      <w:bodyDiv w:val="1"/>
      <w:marLeft w:val="0"/>
      <w:marRight w:val="0"/>
      <w:marTop w:val="0"/>
      <w:marBottom w:val="0"/>
      <w:divBdr>
        <w:top w:val="none" w:sz="0" w:space="0" w:color="auto"/>
        <w:left w:val="none" w:sz="0" w:space="0" w:color="auto"/>
        <w:bottom w:val="none" w:sz="0" w:space="0" w:color="auto"/>
        <w:right w:val="none" w:sz="0" w:space="0" w:color="auto"/>
      </w:divBdr>
    </w:div>
    <w:div w:id="2064794485">
      <w:bodyDiv w:val="1"/>
      <w:marLeft w:val="0"/>
      <w:marRight w:val="0"/>
      <w:marTop w:val="0"/>
      <w:marBottom w:val="0"/>
      <w:divBdr>
        <w:top w:val="none" w:sz="0" w:space="0" w:color="auto"/>
        <w:left w:val="none" w:sz="0" w:space="0" w:color="auto"/>
        <w:bottom w:val="none" w:sz="0" w:space="0" w:color="auto"/>
        <w:right w:val="none" w:sz="0" w:space="0" w:color="auto"/>
      </w:divBdr>
    </w:div>
    <w:div w:id="21052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www.statpedu.sk/en/Home.alej"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3.xml"/><Relationship Id="rId32" Type="http://schemas.openxmlformats.org/officeDocument/2006/relationships/hyperlink" Target="https://www.employment.gov.sk/sk/rodina-socialna-pomoc/tazke-zdravotne-postihnutie/kontaktne-miesto-prava-osob-so-zdravotnym-postihnuti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ohchr.org/EN/Countries/ENACARegion/Pages/SKIndex.aspx" TargetMode="External"/><Relationship Id="rId18" Type="http://schemas.openxmlformats.org/officeDocument/2006/relationships/hyperlink" Target="http://nrozp.sk/index.php/projekty-nrozp/37-aktualne-projekty/270-vystupy" TargetMode="External"/><Relationship Id="rId26" Type="http://schemas.openxmlformats.org/officeDocument/2006/relationships/hyperlink" Target="http://www.cvtisr.sk/cvti-sr-vedecka-kniznica/informacie-o-skolstve/statistiky/statisticka-rocenka-publikacia/statisticka-rocenka-specialne-skoly.html?page_id=9600" TargetMode="External"/><Relationship Id="rId39" Type="http://schemas.openxmlformats.org/officeDocument/2006/relationships/hyperlink" Target="http://statdat.statistics.sk/cognosext/cgi-bin/cognos.cgi?b_action=cognosViewer&amp;ui.action=run&amp;ui.object=storeID(%22i94C7052B240A492FB3BE8C7A487D337B%22)&amp;ui.name=Priemern%c3%a1%20mesa%c4%8dn%c3%a1%20mzda%20v%20hospod%c3%a1rstve%20SR%20%5bpr0204qs%5d&amp;run.outputFormat=&amp;run.prompt=true&amp;cv.header=false&amp;ui.backURL=%2fcognosext%2fcps4%2fportlets%2fcommon%2fclose.html&amp;run.outputLocale=sk" TargetMode="External"/><Relationship Id="rId3" Type="http://schemas.openxmlformats.org/officeDocument/2006/relationships/hyperlink" Target="http://epp.eurostat.ec.europa.eu/statistics_explained/index.php/Glossary:Minimum_European_Health_Module_(MEHM)" TargetMode="External"/><Relationship Id="rId21" Type="http://schemas.openxmlformats.org/officeDocument/2006/relationships/hyperlink" Target="http://www.cvtisr.sk/en.html?page_id=58" TargetMode="External"/><Relationship Id="rId34" Type="http://schemas.openxmlformats.org/officeDocument/2006/relationships/hyperlink" Target="http://www.cvtisr.sk/cvti-sr-vedecka-kniznica/informacie-o-skolstve/statistiky/statisticka-rocenka-publikacia/statisticka-rocenka-specialne-skoly.html?page_id=9600" TargetMode="External"/><Relationship Id="rId42" Type="http://schemas.openxmlformats.org/officeDocument/2006/relationships/hyperlink" Target="http://www.nucem.sk/documents/25/maturita_2017/vysledky_spravy/Prezentacia_MS-2017_final.pdf" TargetMode="External"/><Relationship Id="rId47" Type="http://schemas.openxmlformats.org/officeDocument/2006/relationships/hyperlink" Target="http://www.upsvar.sk/statistiky/aktivne-opatrenia-tp-statistiky/kopia-aktivne-opatrenia-trhu-prace-2014.html?page_id=618270" TargetMode="External"/><Relationship Id="rId50" Type="http://schemas.openxmlformats.org/officeDocument/2006/relationships/hyperlink" Target="https://www.minedu.sk/05102016-vyzvanie-oplz-po12016np111-02-pre-narodny-projekt-skola-otvorena-vsetkym/" TargetMode="External"/><Relationship Id="rId7" Type="http://schemas.openxmlformats.org/officeDocument/2006/relationships/hyperlink" Target="http://appsso.eurostat.ec.europa.eu/nui/show.do?dataset=hlth_de020&amp;lang=en" TargetMode="External"/><Relationship Id="rId12" Type="http://schemas.openxmlformats.org/officeDocument/2006/relationships/hyperlink" Target="https://www.employment.gov.sk/files/slovensky/ministerstvo/analyticke-centrum/sprava-socialnej-situacii-obyvatelstva-za-rok-2015.pdf" TargetMode="External"/><Relationship Id="rId17" Type="http://schemas.openxmlformats.org/officeDocument/2006/relationships/hyperlink" Target="http://www.finance.gov.sk/Default.aspx?CatID=11380" TargetMode="External"/><Relationship Id="rId25" Type="http://schemas.openxmlformats.org/officeDocument/2006/relationships/hyperlink" Target="http://www.cvtisr.sk/en.html?page_id=58" TargetMode="External"/><Relationship Id="rId33" Type="http://schemas.openxmlformats.org/officeDocument/2006/relationships/hyperlink" Target="http://www.cvtisr.sk/en.html?page_id=58" TargetMode="External"/><Relationship Id="rId38" Type="http://schemas.openxmlformats.org/officeDocument/2006/relationships/hyperlink" Target="http://ec.europa.eu/europe2020/pdf/csr2016/csr2016_slovakia_en.pdf" TargetMode="External"/><Relationship Id="rId46" Type="http://schemas.openxmlformats.org/officeDocument/2006/relationships/hyperlink" Target="http://www.upsvar.sk/zaruky-pre-mladych/narodne-projekty-zamerane-na-podporu-zamestnania-mladych-do-29-rokov.html?page_id=512908" TargetMode="External"/><Relationship Id="rId2" Type="http://schemas.openxmlformats.org/officeDocument/2006/relationships/hyperlink" Target="http://www.employment.gov.sk/files/slovensky/rodina-socialna-pomoc/tazke-zdravotne-postihnutie/narodny-program-rozvoja-zivotnych-podmienok-osob-so-zdravotnym-postihnutim-roky-2014-2020.pdf" TargetMode="External"/><Relationship Id="rId16" Type="http://schemas.openxmlformats.org/officeDocument/2006/relationships/hyperlink" Target="https://www.mpsvr.sk/sk/ministerstvo/vyskum-oblasti-prace-socialnych-veci-institut-socialnej-politiky/spravy-socialnej-situacii-obyvatelstva-slovenskej-republiky.html" TargetMode="External"/><Relationship Id="rId20" Type="http://schemas.openxmlformats.org/officeDocument/2006/relationships/hyperlink" Target="http://sku.sk/stanovisko-slovenskej-komory-ucitelov-inkluzii-slovensku/" TargetMode="External"/><Relationship Id="rId29" Type="http://schemas.openxmlformats.org/officeDocument/2006/relationships/hyperlink" Target="http://www.statpedu.sk/en/Home.alej" TargetMode="External"/><Relationship Id="rId41" Type="http://schemas.openxmlformats.org/officeDocument/2006/relationships/hyperlink" Target="http://www.nucem.sk/documents/26/testovanie_9_2017/vysledky_t9_2017/Prezentacia_Vysledky_T9-2017.pdf" TargetMode="External"/><Relationship Id="rId1" Type="http://schemas.openxmlformats.org/officeDocument/2006/relationships/hyperlink" Target="http://ec.europa.eu/europe2020/pdf/targets_en.pdf" TargetMode="External"/><Relationship Id="rId6" Type="http://schemas.openxmlformats.org/officeDocument/2006/relationships/hyperlink" Target="http://appsso.eurostat.ec.europa.eu/nui/show.do?dataset=hlth_de010&amp;lang=en" TargetMode="External"/><Relationship Id="rId11" Type="http://schemas.openxmlformats.org/officeDocument/2006/relationships/hyperlink" Target="http://ec.europa.eu/eurostat/web/health/disability/data/database" TargetMode="External"/><Relationship Id="rId24" Type="http://schemas.openxmlformats.org/officeDocument/2006/relationships/hyperlink" Target="https://www.minedu.sk/rozsirovanie-a-udrzanie-kapacit-materskych-skol/" TargetMode="External"/><Relationship Id="rId32" Type="http://schemas.openxmlformats.org/officeDocument/2006/relationships/hyperlink" Target="https://ec.europa.eu/info/sites/info/files/2017-european-semester-national-reform-programme-slovakia-sk.pdf" TargetMode="External"/><Relationship Id="rId37" Type="http://schemas.openxmlformats.org/officeDocument/2006/relationships/hyperlink" Target="https://asociaciavi.sk/" TargetMode="External"/><Relationship Id="rId40" Type="http://schemas.openxmlformats.org/officeDocument/2006/relationships/hyperlink" Target="http://www.nucem.sk/documents//27//NS_PISA_2015.pdf" TargetMode="External"/><Relationship Id="rId45" Type="http://schemas.openxmlformats.org/officeDocument/2006/relationships/hyperlink" Target="https://www.ia.gov.sk/sk/dopytovo-orientovane-projekty/vyzvy/op-lz-dop-20174.1.201" TargetMode="External"/><Relationship Id="rId53" Type="http://schemas.openxmlformats.org/officeDocument/2006/relationships/hyperlink" Target="https://www.ia.gov.sk/sk/narodne-projekty/narodny-projekt-podpora-opatrovatelskej-sluzby" TargetMode="External"/><Relationship Id="rId5" Type="http://schemas.openxmlformats.org/officeDocument/2006/relationships/hyperlink" Target="https://www.employment.gov.sk/sk/ministerstvo/vyskum-oblasti-prace-socialnych-veci-institut-socialnej-politiky/spravy-socialnej-situacii-obyvatelstva-slovenskej-republiky.html" TargetMode="External"/><Relationship Id="rId15" Type="http://schemas.openxmlformats.org/officeDocument/2006/relationships/hyperlink" Target="https://www.ia.gov.sk/sk/dopytovo-orientovane-projekty/vyzvy/op-lz-dop-20164.2.1011" TargetMode="External"/><Relationship Id="rId23" Type="http://schemas.openxmlformats.org/officeDocument/2006/relationships/hyperlink" Target="http://nrozp-mosty.sk/images/02-2017/Mosty_inkluzie_august_fin.pdf" TargetMode="External"/><Relationship Id="rId28" Type="http://schemas.openxmlformats.org/officeDocument/2006/relationships/hyperlink" Target="http://www.statpedu.sk/files/articles/nove_dokumenty/statny-vzdelavaci-program/svp_materske_skoly_2016-17780_27322_1-10a0_6jul2016.pdf" TargetMode="External"/><Relationship Id="rId36" Type="http://schemas.openxmlformats.org/officeDocument/2006/relationships/hyperlink" Target="https://www.employment.gov.sk/files/slovensky/rodina-socialna-pomoc/socialne-sluzby/nprss-2015-2020.pdf" TargetMode="External"/><Relationship Id="rId49" Type="http://schemas.openxmlformats.org/officeDocument/2006/relationships/hyperlink" Target="http://www.upsvar.sk/europsky-socialny-fond/narodne-projekty-v-programovom-obdobi-2007-2013/narodny-projekt-podpora-udrzania-pracovnych-miest-pre-obcanov-so-zdravotnym-postihnutim-a-zvysovanie-zamestnatelnosti-uoz.html?page_id=527055" TargetMode="External"/><Relationship Id="rId10" Type="http://schemas.openxmlformats.org/officeDocument/2006/relationships/hyperlink" Target="http://www.statistics.sk/pls/elisw/utlData.htmlBodyWin?uic=80" TargetMode="External"/><Relationship Id="rId19" Type="http://schemas.openxmlformats.org/officeDocument/2006/relationships/hyperlink" Target="http://www.upsvar.sk/bb/aktualne-oznamy-1/zoznam-chranenych-dielni-a-chranenych-pracovisk.html?page_id=571195" TargetMode="External"/><Relationship Id="rId31" Type="http://schemas.openxmlformats.org/officeDocument/2006/relationships/hyperlink" Target="http://skolskyservis.teraz.sk/skolstvo/odborne-organizacie-ziadaju-zrusit/36173-clanok.html" TargetMode="External"/><Relationship Id="rId44" Type="http://schemas.openxmlformats.org/officeDocument/2006/relationships/hyperlink" Target="https://www.employment.gov.sk/sk/esf/programove-obdobie-2014-2020/monitorovaci-vybor-op-ludske-zdroje/komisia-osi-234-zamestnanost/" TargetMode="External"/><Relationship Id="rId52" Type="http://schemas.openxmlformats.org/officeDocument/2006/relationships/hyperlink" Target="https://www.minedu.sk/data/att/11871.pdf" TargetMode="External"/><Relationship Id="rId4" Type="http://schemas.openxmlformats.org/officeDocument/2006/relationships/hyperlink" Target="http://www.disability-europe.net/theme/statistical-indicators" TargetMode="External"/><Relationship Id="rId9" Type="http://schemas.openxmlformats.org/officeDocument/2006/relationships/hyperlink" Target="https://circabc.europa.eu/sd/a/6f3aab20-0c33-4875-a1f9-ec16bcff81f2/DOCSILC065%20operation%202015%20VERSION%20july2014.pdf" TargetMode="External"/><Relationship Id="rId14" Type="http://schemas.openxmlformats.org/officeDocument/2006/relationships/hyperlink" Target="http://www.rokovania.sk/Rokovanie.aspx/BodRokovaniaDetail?idMaterial=23180" TargetMode="External"/><Relationship Id="rId22" Type="http://schemas.openxmlformats.org/officeDocument/2006/relationships/hyperlink" Target="http://www.cvtisr.sk/cvti-sr-vedecka-kniznica/informacie-o-skolstve/statistiky/statisticka-rocenka-publikacia.html?page_id=9580" TargetMode="External"/><Relationship Id="rId27" Type="http://schemas.openxmlformats.org/officeDocument/2006/relationships/hyperlink" Target="http://www.statpedu.sk/en/Home.alej" TargetMode="External"/><Relationship Id="rId30" Type="http://schemas.openxmlformats.org/officeDocument/2006/relationships/hyperlink" Target="http://www.statpedu.sk/files/sk/deti-ziaci-so-svvp/deti-ziaci-so-zdravotnym-znevyhodnenim-vseobecnym-intelektovym-nadanim/vzdelavacie-programy/vp-deti-so-zz-schvalene-maj-2017.pdf" TargetMode="External"/><Relationship Id="rId35" Type="http://schemas.openxmlformats.org/officeDocument/2006/relationships/hyperlink" Target="http://tbinternet.ohchr.org/_layouts/treatybodyexternal/Download.aspx?symbolno=CRPD%2fC%2fSVK%2fCO%2f1&amp;Lang=en" TargetMode="External"/><Relationship Id="rId43" Type="http://schemas.openxmlformats.org/officeDocument/2006/relationships/hyperlink" Target="http://www.finance.gov.sk/Default.aspx?CatID=11380" TargetMode="External"/><Relationship Id="rId48" Type="http://schemas.openxmlformats.org/officeDocument/2006/relationships/hyperlink" Target="http://www.upsvar.sk/europsky-socialny-fond/narodne-projekty-v-programovom-obdobi-2014-2020/narodny-projekt-podpora-zamestnavania-obcanov-so-zdravotnym-postihnutim.html?page_id=560256" TargetMode="External"/><Relationship Id="rId8" Type="http://schemas.openxmlformats.org/officeDocument/2006/relationships/hyperlink" Target="https://www.employment.gov.sk/files/slovensky/apdn_06122016_sk_final.pdf" TargetMode="External"/><Relationship Id="rId51" Type="http://schemas.openxmlformats.org/officeDocument/2006/relationships/hyperlink" Target="https://www.minedu.sk/data/att/10415.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oleObject" Target="file:///D:\Projekty%20a%20vyskum\2016\OZP\Vzdelanie%20a%20zamestnanos&#357;.xlsx"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D:\Projekty%20a%20vyskum\2016\OZP\Vzdelanie%20a%20zamestnanos&#357;.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oleObject" Target="file:///D:\Projekty%20a%20vyskum\2016\OZP\Vzdelanie%20a%20zamestnanos&#35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600"/>
              <a:t>Prevalence of self-reported 'activity limitation'</a:t>
            </a:r>
          </a:p>
        </c:rich>
      </c:tx>
      <c:overlay val="0"/>
    </c:title>
    <c:autoTitleDeleted val="0"/>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All 'limited'</c:v>
                </c:pt>
                <c:pt idx="2">
                  <c:v>Strongly limited</c:v>
                </c:pt>
                <c:pt idx="3">
                  <c:v>Limited to some extent</c:v>
                </c:pt>
                <c:pt idx="4">
                  <c:v>Women</c:v>
                </c:pt>
                <c:pt idx="5">
                  <c:v>Men</c:v>
                </c:pt>
                <c:pt idx="6">
                  <c:v>Age 16-64</c:v>
                </c:pt>
                <c:pt idx="7">
                  <c:v>Age 65+</c:v>
                </c:pt>
              </c:strCache>
            </c:strRef>
          </c:cat>
          <c:val>
            <c:numRef>
              <c:f>Sheet1!$B$2:$B$9</c:f>
              <c:numCache>
                <c:formatCode>0.0</c:formatCode>
                <c:ptCount val="8"/>
                <c:pt idx="0">
                  <c:v>74.709999999999994</c:v>
                </c:pt>
                <c:pt idx="1">
                  <c:v>25.29</c:v>
                </c:pt>
                <c:pt idx="2">
                  <c:v>8.0399999999999991</c:v>
                </c:pt>
                <c:pt idx="3">
                  <c:v>17.25</c:v>
                </c:pt>
                <c:pt idx="4">
                  <c:v>27.46</c:v>
                </c:pt>
                <c:pt idx="5">
                  <c:v>22.95</c:v>
                </c:pt>
                <c:pt idx="6">
                  <c:v>17.809999999999999</c:v>
                </c:pt>
                <c:pt idx="7">
                  <c:v>50.09</c:v>
                </c:pt>
              </c:numCache>
            </c:numRef>
          </c:val>
          <c:extLst>
            <c:ext xmlns:c16="http://schemas.microsoft.com/office/drawing/2014/chart" uri="{C3380CC4-5D6E-409C-BE32-E72D297353CC}">
              <c16:uniqueId val="{00000000-8B35-4C27-B51B-8F0DF880785C}"/>
            </c:ext>
          </c:extLst>
        </c:ser>
        <c:ser>
          <c:idx val="1"/>
          <c:order val="1"/>
          <c:tx>
            <c:strRef>
              <c:f>Sheet1!$C$1</c:f>
              <c:strCache>
                <c:ptCount val="1"/>
                <c:pt idx="0">
                  <c:v>National average</c:v>
                </c:pt>
              </c:strCache>
            </c:strRef>
          </c:tx>
          <c:invertIfNegative val="0"/>
          <c:cat>
            <c:strRef>
              <c:f>Sheet1!$A$2:$A$9</c:f>
              <c:strCache>
                <c:ptCount val="8"/>
                <c:pt idx="0">
                  <c:v>Not limited</c:v>
                </c:pt>
                <c:pt idx="1">
                  <c:v>All 'limited'</c:v>
                </c:pt>
                <c:pt idx="2">
                  <c:v>Strongly limited</c:v>
                </c:pt>
                <c:pt idx="3">
                  <c:v>Limited to some extent</c:v>
                </c:pt>
                <c:pt idx="4">
                  <c:v>Women</c:v>
                </c:pt>
                <c:pt idx="5">
                  <c:v>Men</c:v>
                </c:pt>
                <c:pt idx="6">
                  <c:v>Age 16-64</c:v>
                </c:pt>
                <c:pt idx="7">
                  <c:v>Age 65+</c:v>
                </c:pt>
              </c:strCache>
            </c:strRef>
          </c:cat>
          <c:val>
            <c:numRef>
              <c:f>Sheet1!$C$2:$C$9</c:f>
              <c:numCache>
                <c:formatCode>0.0</c:formatCode>
                <c:ptCount val="8"/>
                <c:pt idx="0">
                  <c:v>68.47</c:v>
                </c:pt>
                <c:pt idx="1">
                  <c:v>31.53</c:v>
                </c:pt>
                <c:pt idx="2">
                  <c:v>9.25</c:v>
                </c:pt>
                <c:pt idx="3">
                  <c:v>22.28</c:v>
                </c:pt>
                <c:pt idx="4">
                  <c:v>34.99</c:v>
                </c:pt>
                <c:pt idx="5">
                  <c:v>27.81</c:v>
                </c:pt>
                <c:pt idx="6">
                  <c:v>22.5</c:v>
                </c:pt>
                <c:pt idx="7">
                  <c:v>74.349999999999994</c:v>
                </c:pt>
              </c:numCache>
            </c:numRef>
          </c:val>
          <c:extLst>
            <c:ext xmlns:c16="http://schemas.microsoft.com/office/drawing/2014/chart" uri="{C3380CC4-5D6E-409C-BE32-E72D297353CC}">
              <c16:uniqueId val="{00000001-8B35-4C27-B51B-8F0DF880785C}"/>
            </c:ext>
          </c:extLst>
        </c:ser>
        <c:dLbls>
          <c:showLegendKey val="0"/>
          <c:showVal val="0"/>
          <c:showCatName val="0"/>
          <c:showSerName val="0"/>
          <c:showPercent val="0"/>
          <c:showBubbleSize val="0"/>
        </c:dLbls>
        <c:gapWidth val="150"/>
        <c:axId val="84185088"/>
        <c:axId val="84186624"/>
      </c:barChart>
      <c:catAx>
        <c:axId val="84185088"/>
        <c:scaling>
          <c:orientation val="maxMin"/>
        </c:scaling>
        <c:delete val="0"/>
        <c:axPos val="l"/>
        <c:numFmt formatCode="General" sourceLinked="1"/>
        <c:majorTickMark val="none"/>
        <c:minorTickMark val="none"/>
        <c:tickLblPos val="nextTo"/>
        <c:crossAx val="84186624"/>
        <c:crosses val="autoZero"/>
        <c:auto val="1"/>
        <c:lblAlgn val="ctr"/>
        <c:lblOffset val="100"/>
        <c:noMultiLvlLbl val="0"/>
      </c:catAx>
      <c:valAx>
        <c:axId val="84186624"/>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84185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economic activity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55.39</c:v>
                </c:pt>
                <c:pt idx="1">
                  <c:v>64.11</c:v>
                </c:pt>
                <c:pt idx="2">
                  <c:v>75.17</c:v>
                </c:pt>
                <c:pt idx="3">
                  <c:v>88.72</c:v>
                </c:pt>
                <c:pt idx="4">
                  <c:v>59.45</c:v>
                </c:pt>
                <c:pt idx="5">
                  <c:v>81.94</c:v>
                </c:pt>
              </c:numCache>
            </c:numRef>
          </c:val>
          <c:extLst>
            <c:ext xmlns:c16="http://schemas.microsoft.com/office/drawing/2014/chart" uri="{C3380CC4-5D6E-409C-BE32-E72D297353CC}">
              <c16:uniqueId val="{00000000-0D59-408F-85EB-0945E7B60260}"/>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61.26</c:v>
                </c:pt>
                <c:pt idx="1">
                  <c:v>67.83</c:v>
                </c:pt>
                <c:pt idx="2">
                  <c:v>77.19</c:v>
                </c:pt>
                <c:pt idx="3">
                  <c:v>90.93</c:v>
                </c:pt>
                <c:pt idx="4">
                  <c:v>64.33</c:v>
                </c:pt>
                <c:pt idx="5">
                  <c:v>84.22</c:v>
                </c:pt>
              </c:numCache>
            </c:numRef>
          </c:val>
          <c:extLst>
            <c:ext xmlns:c16="http://schemas.microsoft.com/office/drawing/2014/chart" uri="{C3380CC4-5D6E-409C-BE32-E72D297353CC}">
              <c16:uniqueId val="{00000001-0D59-408F-85EB-0945E7B60260}"/>
            </c:ext>
          </c:extLst>
        </c:ser>
        <c:dLbls>
          <c:showLegendKey val="0"/>
          <c:showVal val="0"/>
          <c:showCatName val="0"/>
          <c:showSerName val="0"/>
          <c:showPercent val="0"/>
          <c:showBubbleSize val="0"/>
        </c:dLbls>
        <c:gapWidth val="150"/>
        <c:axId val="129474944"/>
        <c:axId val="129476480"/>
      </c:barChart>
      <c:catAx>
        <c:axId val="129474944"/>
        <c:scaling>
          <c:orientation val="minMax"/>
        </c:scaling>
        <c:delete val="0"/>
        <c:axPos val="b"/>
        <c:numFmt formatCode="General" sourceLinked="1"/>
        <c:majorTickMark val="none"/>
        <c:minorTickMark val="none"/>
        <c:tickLblPos val="nextTo"/>
        <c:crossAx val="129476480"/>
        <c:crosses val="autoZero"/>
        <c:auto val="1"/>
        <c:lblAlgn val="ctr"/>
        <c:lblOffset val="100"/>
        <c:noMultiLvlLbl val="0"/>
      </c:catAx>
      <c:valAx>
        <c:axId val="1294764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94749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Activity rates by age group</a:t>
            </a:r>
          </a:p>
        </c:rich>
      </c:tx>
      <c:layout>
        <c:manualLayout>
          <c:xMode val="edge"/>
          <c:yMode val="edge"/>
          <c:x val="0.23232505421773497"/>
          <c:y val="1.9755497007424284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35.040939999999999</c:v>
                </c:pt>
                <c:pt idx="1">
                  <c:v>71.241421000000003</c:v>
                </c:pt>
                <c:pt idx="2">
                  <c:v>74.990572</c:v>
                </c:pt>
                <c:pt idx="3">
                  <c:v>69.714049000000003</c:v>
                </c:pt>
                <c:pt idx="4">
                  <c:v>43.074029000000003</c:v>
                </c:pt>
              </c:numCache>
            </c:numRef>
          </c:val>
          <c:smooth val="0"/>
          <c:extLst>
            <c:ext xmlns:c16="http://schemas.microsoft.com/office/drawing/2014/chart" uri="{C3380CC4-5D6E-409C-BE32-E72D297353CC}">
              <c16:uniqueId val="{00000000-C546-46DD-AA4D-5E64284290AA}"/>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39.236708</c:v>
                </c:pt>
                <c:pt idx="1">
                  <c:v>85.639792</c:v>
                </c:pt>
                <c:pt idx="2">
                  <c:v>91.839530999999994</c:v>
                </c:pt>
                <c:pt idx="3">
                  <c:v>91.477408999999994</c:v>
                </c:pt>
                <c:pt idx="4">
                  <c:v>66.902974999999998</c:v>
                </c:pt>
              </c:numCache>
            </c:numRef>
          </c:val>
          <c:smooth val="0"/>
          <c:extLst>
            <c:ext xmlns:c16="http://schemas.microsoft.com/office/drawing/2014/chart" uri="{C3380CC4-5D6E-409C-BE32-E72D297353CC}">
              <c16:uniqueId val="{00000001-C546-46DD-AA4D-5E64284290AA}"/>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35.491016999999999</c:v>
                </c:pt>
                <c:pt idx="1">
                  <c:v>74.973047000000008</c:v>
                </c:pt>
                <c:pt idx="2">
                  <c:v>86.631466000000003</c:v>
                </c:pt>
                <c:pt idx="3">
                  <c:v>85.199710999999994</c:v>
                </c:pt>
                <c:pt idx="4">
                  <c:v>39.752955999999998</c:v>
                </c:pt>
              </c:numCache>
            </c:numRef>
          </c:val>
          <c:smooth val="0"/>
          <c:extLst>
            <c:ext xmlns:c16="http://schemas.microsoft.com/office/drawing/2014/chart" uri="{C3380CC4-5D6E-409C-BE32-E72D297353CC}">
              <c16:uniqueId val="{00000002-C546-46DD-AA4D-5E64284290AA}"/>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38.902133999999997</c:v>
                </c:pt>
                <c:pt idx="1">
                  <c:v>88.811916999999994</c:v>
                </c:pt>
                <c:pt idx="2">
                  <c:v>95.264603000000008</c:v>
                </c:pt>
                <c:pt idx="3">
                  <c:v>97.511719999999997</c:v>
                </c:pt>
                <c:pt idx="4">
                  <c:v>65.722420999999997</c:v>
                </c:pt>
              </c:numCache>
            </c:numRef>
          </c:val>
          <c:smooth val="0"/>
          <c:extLst>
            <c:ext xmlns:c16="http://schemas.microsoft.com/office/drawing/2014/chart" uri="{C3380CC4-5D6E-409C-BE32-E72D297353CC}">
              <c16:uniqueId val="{00000003-C546-46DD-AA4D-5E64284290AA}"/>
            </c:ext>
          </c:extLst>
        </c:ser>
        <c:dLbls>
          <c:showLegendKey val="0"/>
          <c:showVal val="0"/>
          <c:showCatName val="0"/>
          <c:showSerName val="0"/>
          <c:showPercent val="0"/>
          <c:showBubbleSize val="0"/>
        </c:dLbls>
        <c:marker val="1"/>
        <c:smooth val="0"/>
        <c:axId val="129502592"/>
        <c:axId val="129504384"/>
      </c:lineChart>
      <c:catAx>
        <c:axId val="129502592"/>
        <c:scaling>
          <c:orientation val="minMax"/>
        </c:scaling>
        <c:delete val="0"/>
        <c:axPos val="b"/>
        <c:numFmt formatCode="General" sourceLinked="1"/>
        <c:majorTickMark val="none"/>
        <c:minorTickMark val="none"/>
        <c:tickLblPos val="nextTo"/>
        <c:crossAx val="129504384"/>
        <c:crosses val="autoZero"/>
        <c:auto val="1"/>
        <c:lblAlgn val="ctr"/>
        <c:lblOffset val="100"/>
        <c:noMultiLvlLbl val="0"/>
      </c:catAx>
      <c:valAx>
        <c:axId val="1295043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950259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economic activity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0.0</c:formatCode>
                <c:ptCount val="8"/>
                <c:pt idx="0">
                  <c:v>53.6</c:v>
                </c:pt>
                <c:pt idx="1">
                  <c:v>51.8</c:v>
                </c:pt>
                <c:pt idx="2">
                  <c:v>55.1</c:v>
                </c:pt>
                <c:pt idx="3">
                  <c:v>55.1</c:v>
                </c:pt>
                <c:pt idx="4">
                  <c:v>54.2</c:v>
                </c:pt>
                <c:pt idx="5">
                  <c:v>54.9</c:v>
                </c:pt>
                <c:pt idx="6">
                  <c:v>61.2</c:v>
                </c:pt>
                <c:pt idx="7">
                  <c:v>61.26</c:v>
                </c:pt>
              </c:numCache>
            </c:numRef>
          </c:val>
          <c:smooth val="0"/>
          <c:extLst>
            <c:ext xmlns:c16="http://schemas.microsoft.com/office/drawing/2014/chart" uri="{C3380CC4-5D6E-409C-BE32-E72D297353CC}">
              <c16:uniqueId val="{00000000-9EAA-4261-ABD5-E2968BD3A217}"/>
            </c:ext>
          </c:extLst>
        </c:ser>
        <c:ser>
          <c:idx val="1"/>
          <c:order val="1"/>
          <c:tx>
            <c:strRef>
              <c:f>Sheet1!$C$1</c:f>
              <c:strCache>
                <c:ptCount val="1"/>
                <c:pt idx="0">
                  <c:v>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0.0</c:formatCode>
                <c:ptCount val="8"/>
                <c:pt idx="0">
                  <c:v>65.3</c:v>
                </c:pt>
                <c:pt idx="1">
                  <c:v>67.8</c:v>
                </c:pt>
                <c:pt idx="2">
                  <c:v>68.099999999999994</c:v>
                </c:pt>
                <c:pt idx="3">
                  <c:v>66.8</c:v>
                </c:pt>
                <c:pt idx="4">
                  <c:v>64.2</c:v>
                </c:pt>
                <c:pt idx="5">
                  <c:v>64</c:v>
                </c:pt>
                <c:pt idx="6">
                  <c:v>68.3</c:v>
                </c:pt>
                <c:pt idx="7">
                  <c:v>67.83</c:v>
                </c:pt>
              </c:numCache>
            </c:numRef>
          </c:val>
          <c:smooth val="0"/>
          <c:extLst>
            <c:ext xmlns:c16="http://schemas.microsoft.com/office/drawing/2014/chart" uri="{C3380CC4-5D6E-409C-BE32-E72D297353CC}">
              <c16:uniqueId val="{00000001-9EAA-4261-ABD5-E2968BD3A217}"/>
            </c:ext>
          </c:extLst>
        </c:ser>
        <c:ser>
          <c:idx val="2"/>
          <c:order val="2"/>
          <c:tx>
            <c:strRef>
              <c:f>Sheet1!$D$1</c:f>
              <c:strCache>
                <c:ptCount val="1"/>
                <c:pt idx="0">
                  <c:v>Non-disabled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0.0</c:formatCode>
                <c:ptCount val="8"/>
                <c:pt idx="0">
                  <c:v>78.3</c:v>
                </c:pt>
                <c:pt idx="1">
                  <c:v>76</c:v>
                </c:pt>
                <c:pt idx="2">
                  <c:v>76.099999999999994</c:v>
                </c:pt>
                <c:pt idx="3">
                  <c:v>75.7</c:v>
                </c:pt>
                <c:pt idx="4">
                  <c:v>75.599999999999994</c:v>
                </c:pt>
                <c:pt idx="5">
                  <c:v>73.8</c:v>
                </c:pt>
                <c:pt idx="6">
                  <c:v>78.599999999999994</c:v>
                </c:pt>
                <c:pt idx="7">
                  <c:v>77.19</c:v>
                </c:pt>
              </c:numCache>
            </c:numRef>
          </c:val>
          <c:smooth val="0"/>
          <c:extLst>
            <c:ext xmlns:c16="http://schemas.microsoft.com/office/drawing/2014/chart" uri="{C3380CC4-5D6E-409C-BE32-E72D297353CC}">
              <c16:uniqueId val="{00000002-9EAA-4261-ABD5-E2968BD3A217}"/>
            </c:ext>
          </c:extLst>
        </c:ser>
        <c:ser>
          <c:idx val="3"/>
          <c:order val="3"/>
          <c:tx>
            <c:strRef>
              <c:f>Sheet1!$E$1</c:f>
              <c:strCache>
                <c:ptCount val="1"/>
                <c:pt idx="0">
                  <c:v>Non-disabled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0.0</c:formatCode>
                <c:ptCount val="8"/>
                <c:pt idx="0">
                  <c:v>89.3</c:v>
                </c:pt>
                <c:pt idx="1">
                  <c:v>88.1</c:v>
                </c:pt>
                <c:pt idx="2">
                  <c:v>87.9</c:v>
                </c:pt>
                <c:pt idx="3">
                  <c:v>87.3</c:v>
                </c:pt>
                <c:pt idx="4">
                  <c:v>86.7</c:v>
                </c:pt>
                <c:pt idx="5">
                  <c:v>87.1</c:v>
                </c:pt>
                <c:pt idx="6">
                  <c:v>90.7</c:v>
                </c:pt>
                <c:pt idx="7">
                  <c:v>90.93</c:v>
                </c:pt>
              </c:numCache>
            </c:numRef>
          </c:val>
          <c:smooth val="0"/>
          <c:extLst>
            <c:ext xmlns:c16="http://schemas.microsoft.com/office/drawing/2014/chart" uri="{C3380CC4-5D6E-409C-BE32-E72D297353CC}">
              <c16:uniqueId val="{00000003-9EAA-4261-ABD5-E2968BD3A217}"/>
            </c:ext>
          </c:extLst>
        </c:ser>
        <c:ser>
          <c:idx val="4"/>
          <c:order val="4"/>
          <c:tx>
            <c:strRef>
              <c:f>Sheet1!$F$1</c:f>
              <c:strCache>
                <c:ptCount val="1"/>
                <c:pt idx="0">
                  <c:v>EU average (all)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0.0</c:formatCode>
                <c:ptCount val="8"/>
                <c:pt idx="0">
                  <c:v>75</c:v>
                </c:pt>
                <c:pt idx="1">
                  <c:v>75.3</c:v>
                </c:pt>
                <c:pt idx="2">
                  <c:v>75.400000000000006</c:v>
                </c:pt>
                <c:pt idx="3">
                  <c:v>75.8</c:v>
                </c:pt>
                <c:pt idx="4">
                  <c:v>76.3</c:v>
                </c:pt>
                <c:pt idx="5">
                  <c:v>76.8</c:v>
                </c:pt>
                <c:pt idx="6">
                  <c:v>77.5</c:v>
                </c:pt>
                <c:pt idx="7">
                  <c:v>77.7</c:v>
                </c:pt>
              </c:numCache>
            </c:numRef>
          </c:val>
          <c:smooth val="0"/>
          <c:extLst>
            <c:ext xmlns:c16="http://schemas.microsoft.com/office/drawing/2014/chart" uri="{C3380CC4-5D6E-409C-BE32-E72D297353CC}">
              <c16:uniqueId val="{00000004-9EAA-4261-ABD5-E2968BD3A217}"/>
            </c:ext>
          </c:extLst>
        </c:ser>
        <c:dLbls>
          <c:showLegendKey val="0"/>
          <c:showVal val="0"/>
          <c:showCatName val="0"/>
          <c:showSerName val="0"/>
          <c:showPercent val="0"/>
          <c:showBubbleSize val="0"/>
        </c:dLbls>
        <c:marker val="1"/>
        <c:smooth val="0"/>
        <c:axId val="132648960"/>
        <c:axId val="132650496"/>
      </c:lineChart>
      <c:catAx>
        <c:axId val="132648960"/>
        <c:scaling>
          <c:orientation val="minMax"/>
        </c:scaling>
        <c:delete val="0"/>
        <c:axPos val="b"/>
        <c:numFmt formatCode="General" sourceLinked="1"/>
        <c:majorTickMark val="none"/>
        <c:minorTickMark val="none"/>
        <c:tickLblPos val="nextTo"/>
        <c:crossAx val="132650496"/>
        <c:crosses val="autoZero"/>
        <c:auto val="1"/>
        <c:lblAlgn val="ctr"/>
        <c:lblOffset val="100"/>
        <c:noMultiLvlLbl val="0"/>
      </c:catAx>
      <c:valAx>
        <c:axId val="13265049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264896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'EAO+pracujúci'!$C$13</c:f>
              <c:strCache>
                <c:ptCount val="1"/>
                <c:pt idx="0">
                  <c:v>EAP</c:v>
                </c:pt>
              </c:strCache>
            </c:strRef>
          </c:tx>
          <c:spPr>
            <a:solidFill>
              <a:schemeClr val="accent1"/>
            </a:solidFill>
            <a:ln>
              <a:noFill/>
            </a:ln>
            <a:effectLst/>
          </c:spPr>
          <c:invertIfNegative val="0"/>
          <c:cat>
            <c:strRef>
              <c:f>('EAO+pracujúci'!$B$14,'EAO+pracujúci'!$B$20,'EAO+pracujúci'!$B$26,'EAO+pracujúci'!$B$32)</c:f>
              <c:strCache>
                <c:ptCount val="4"/>
                <c:pt idx="0">
                  <c:v>15-29 years</c:v>
                </c:pt>
                <c:pt idx="1">
                  <c:v>30-39 years</c:v>
                </c:pt>
                <c:pt idx="2">
                  <c:v>40-49 years</c:v>
                </c:pt>
                <c:pt idx="3">
                  <c:v>50 +</c:v>
                </c:pt>
              </c:strCache>
            </c:strRef>
          </c:cat>
          <c:val>
            <c:numRef>
              <c:f>('EAO+pracujúci'!$C$14,'EAO+pracujúci'!$C$20,'EAO+pracujúci'!$C$26,'EAO+pracujúci'!$C$32)</c:f>
              <c:numCache>
                <c:formatCode>General</c:formatCode>
                <c:ptCount val="4"/>
                <c:pt idx="0">
                  <c:v>20.100000000000001</c:v>
                </c:pt>
                <c:pt idx="1">
                  <c:v>28</c:v>
                </c:pt>
                <c:pt idx="2">
                  <c:v>25.5</c:v>
                </c:pt>
                <c:pt idx="3">
                  <c:v>26.4</c:v>
                </c:pt>
              </c:numCache>
            </c:numRef>
          </c:val>
          <c:extLst>
            <c:ext xmlns:c16="http://schemas.microsoft.com/office/drawing/2014/chart" uri="{C3380CC4-5D6E-409C-BE32-E72D297353CC}">
              <c16:uniqueId val="{00000000-6401-4CBC-BDDF-BF4396144B9C}"/>
            </c:ext>
          </c:extLst>
        </c:ser>
        <c:ser>
          <c:idx val="1"/>
          <c:order val="1"/>
          <c:tx>
            <c:strRef>
              <c:f>'EAO+pracujúci'!$D$13</c:f>
              <c:strCache>
                <c:ptCount val="1"/>
                <c:pt idx="0">
                  <c:v>EAP w/ disability</c:v>
                </c:pt>
              </c:strCache>
            </c:strRef>
          </c:tx>
          <c:spPr>
            <a:solidFill>
              <a:schemeClr val="accent2"/>
            </a:solidFill>
            <a:ln>
              <a:noFill/>
            </a:ln>
            <a:effectLst/>
          </c:spPr>
          <c:invertIfNegative val="0"/>
          <c:cat>
            <c:strRef>
              <c:f>('EAO+pracujúci'!$B$14,'EAO+pracujúci'!$B$20,'EAO+pracujúci'!$B$26,'EAO+pracujúci'!$B$32)</c:f>
              <c:strCache>
                <c:ptCount val="4"/>
                <c:pt idx="0">
                  <c:v>15-29 years</c:v>
                </c:pt>
                <c:pt idx="1">
                  <c:v>30-39 years</c:v>
                </c:pt>
                <c:pt idx="2">
                  <c:v>40-49 years</c:v>
                </c:pt>
                <c:pt idx="3">
                  <c:v>50 +</c:v>
                </c:pt>
              </c:strCache>
            </c:strRef>
          </c:cat>
          <c:val>
            <c:numRef>
              <c:f>('EAO+pracujúci'!$D$14,'EAO+pracujúci'!$D$20,'EAO+pracujúci'!$D$26,'EAO+pracujúci'!$D$32)</c:f>
              <c:numCache>
                <c:formatCode>General</c:formatCode>
                <c:ptCount val="4"/>
                <c:pt idx="0">
                  <c:v>12.9</c:v>
                </c:pt>
                <c:pt idx="1">
                  <c:v>18.3</c:v>
                </c:pt>
                <c:pt idx="2">
                  <c:v>26.3</c:v>
                </c:pt>
                <c:pt idx="3">
                  <c:v>42.6</c:v>
                </c:pt>
              </c:numCache>
            </c:numRef>
          </c:val>
          <c:extLst>
            <c:ext xmlns:c16="http://schemas.microsoft.com/office/drawing/2014/chart" uri="{C3380CC4-5D6E-409C-BE32-E72D297353CC}">
              <c16:uniqueId val="{00000001-6401-4CBC-BDDF-BF4396144B9C}"/>
            </c:ext>
          </c:extLst>
        </c:ser>
        <c:dLbls>
          <c:showLegendKey val="0"/>
          <c:showVal val="0"/>
          <c:showCatName val="0"/>
          <c:showSerName val="0"/>
          <c:showPercent val="0"/>
          <c:showBubbleSize val="0"/>
        </c:dLbls>
        <c:gapWidth val="219"/>
        <c:axId val="131347200"/>
        <c:axId val="131349120"/>
      </c:barChart>
      <c:catAx>
        <c:axId val="13134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131349120"/>
        <c:crosses val="autoZero"/>
        <c:auto val="1"/>
        <c:lblAlgn val="ctr"/>
        <c:lblOffset val="100"/>
        <c:noMultiLvlLbl val="0"/>
      </c:catAx>
      <c:valAx>
        <c:axId val="13134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a:t>
                </a:r>
              </a:p>
            </c:rich>
          </c:tx>
          <c:layout>
            <c:manualLayout>
              <c:xMode val="edge"/>
              <c:yMode val="edge"/>
              <c:x val="1.3888888888888888E-2"/>
              <c:y val="5.4860164951291181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131347200"/>
        <c:crosses val="autoZero"/>
        <c:crossBetween val="between"/>
        <c:majorUnit val="9"/>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Early school leavers</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21.96</c:v>
                </c:pt>
                <c:pt idx="1">
                  <c:v>11.68</c:v>
                </c:pt>
                <c:pt idx="2">
                  <c:v>24.3</c:v>
                </c:pt>
                <c:pt idx="3">
                  <c:v>12.48</c:v>
                </c:pt>
              </c:numCache>
            </c:numRef>
          </c:val>
          <c:extLst>
            <c:ext xmlns:c16="http://schemas.microsoft.com/office/drawing/2014/chart" uri="{C3380CC4-5D6E-409C-BE32-E72D297353CC}">
              <c16:uniqueId val="{00000000-1228-4B7C-B449-E6FBAB8785B3}"/>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10.14</c:v>
                </c:pt>
                <c:pt idx="1">
                  <c:v>3.57</c:v>
                </c:pt>
                <c:pt idx="2">
                  <c:v>8.92</c:v>
                </c:pt>
                <c:pt idx="3">
                  <c:v>4.54</c:v>
                </c:pt>
              </c:numCache>
            </c:numRef>
          </c:val>
          <c:extLst>
            <c:ext xmlns:c16="http://schemas.microsoft.com/office/drawing/2014/chart" uri="{C3380CC4-5D6E-409C-BE32-E72D297353CC}">
              <c16:uniqueId val="{00000001-1228-4B7C-B449-E6FBAB8785B3}"/>
            </c:ext>
          </c:extLst>
        </c:ser>
        <c:dLbls>
          <c:showLegendKey val="0"/>
          <c:showVal val="0"/>
          <c:showCatName val="0"/>
          <c:showSerName val="0"/>
          <c:showPercent val="0"/>
          <c:showBubbleSize val="0"/>
        </c:dLbls>
        <c:gapWidth val="150"/>
        <c:axId val="131387776"/>
        <c:axId val="131389312"/>
      </c:barChart>
      <c:catAx>
        <c:axId val="131387776"/>
        <c:scaling>
          <c:orientation val="minMax"/>
        </c:scaling>
        <c:delete val="0"/>
        <c:axPos val="b"/>
        <c:numFmt formatCode="General" sourceLinked="1"/>
        <c:majorTickMark val="none"/>
        <c:minorTickMark val="none"/>
        <c:tickLblPos val="nextTo"/>
        <c:crossAx val="131389312"/>
        <c:crosses val="autoZero"/>
        <c:auto val="1"/>
        <c:lblAlgn val="ctr"/>
        <c:lblOffset val="100"/>
        <c:noMultiLvlLbl val="0"/>
      </c:catAx>
      <c:valAx>
        <c:axId val="13138931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3877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Completion of tertiary education</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29.35</c:v>
                </c:pt>
                <c:pt idx="1">
                  <c:v>43</c:v>
                </c:pt>
                <c:pt idx="2">
                  <c:v>27.46</c:v>
                </c:pt>
                <c:pt idx="3">
                  <c:v>41.42</c:v>
                </c:pt>
              </c:numCache>
            </c:numRef>
          </c:val>
          <c:extLst>
            <c:ext xmlns:c16="http://schemas.microsoft.com/office/drawing/2014/chart" uri="{C3380CC4-5D6E-409C-BE32-E72D297353CC}">
              <c16:uniqueId val="{00000000-A7CA-480E-8F53-27BF0AD16350}"/>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44.91</c:v>
                </c:pt>
                <c:pt idx="1">
                  <c:v>35.15</c:v>
                </c:pt>
                <c:pt idx="2">
                  <c:v>33.11</c:v>
                </c:pt>
                <c:pt idx="3">
                  <c:v>29.66</c:v>
                </c:pt>
              </c:numCache>
            </c:numRef>
          </c:val>
          <c:extLst>
            <c:ext xmlns:c16="http://schemas.microsoft.com/office/drawing/2014/chart" uri="{C3380CC4-5D6E-409C-BE32-E72D297353CC}">
              <c16:uniqueId val="{00000001-A7CA-480E-8F53-27BF0AD16350}"/>
            </c:ext>
          </c:extLst>
        </c:ser>
        <c:dLbls>
          <c:showLegendKey val="0"/>
          <c:showVal val="0"/>
          <c:showCatName val="0"/>
          <c:showSerName val="0"/>
          <c:showPercent val="0"/>
          <c:showBubbleSize val="0"/>
        </c:dLbls>
        <c:gapWidth val="150"/>
        <c:axId val="131421696"/>
        <c:axId val="131423232"/>
      </c:barChart>
      <c:catAx>
        <c:axId val="131421696"/>
        <c:scaling>
          <c:orientation val="minMax"/>
        </c:scaling>
        <c:delete val="0"/>
        <c:axPos val="b"/>
        <c:numFmt formatCode="General" sourceLinked="1"/>
        <c:majorTickMark val="none"/>
        <c:minorTickMark val="none"/>
        <c:tickLblPos val="nextTo"/>
        <c:crossAx val="131423232"/>
        <c:crosses val="autoZero"/>
        <c:auto val="1"/>
        <c:lblAlgn val="ctr"/>
        <c:lblOffset val="100"/>
        <c:noMultiLvlLbl val="0"/>
      </c:catAx>
      <c:valAx>
        <c:axId val="1314232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4216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Indicative trends in tertiary education rates</a:t>
            </a:r>
          </a:p>
        </c:rich>
      </c:tx>
      <c:layout>
        <c:manualLayout>
          <c:xMode val="edge"/>
          <c:yMode val="edge"/>
          <c:x val="0.17858213035870515"/>
          <c:y val="1.6427104722792608E-2"/>
        </c:manualLayout>
      </c:layout>
      <c:overlay val="0"/>
    </c:title>
    <c:autoTitleDeleted val="0"/>
    <c:plotArea>
      <c:layout>
        <c:manualLayout>
          <c:layoutTarget val="inner"/>
          <c:xMode val="edge"/>
          <c:yMode val="edge"/>
          <c:x val="0.33495497958588505"/>
          <c:y val="0.10346994357039128"/>
          <c:w val="0.651156131525226"/>
          <c:h val="0.60966639699712077"/>
        </c:manualLayout>
      </c:layout>
      <c:lineChart>
        <c:grouping val="standard"/>
        <c:varyColors val="0"/>
        <c:ser>
          <c:idx val="0"/>
          <c:order val="0"/>
          <c:tx>
            <c:strRef>
              <c:f>Sheet1!$B$1</c:f>
              <c:strCache>
                <c:ptCount val="1"/>
                <c:pt idx="0">
                  <c:v>Disabled (national)</c:v>
                </c:pt>
              </c:strCache>
            </c:strRef>
          </c:tx>
          <c:trendline>
            <c:trendlineType val="linear"/>
            <c:dispRSqr val="0"/>
            <c:dispEq val="0"/>
          </c:trendline>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0.0</c:formatCode>
                <c:ptCount val="8"/>
                <c:pt idx="0">
                  <c:v>16.8</c:v>
                </c:pt>
                <c:pt idx="1">
                  <c:v>22.4</c:v>
                </c:pt>
                <c:pt idx="2">
                  <c:v>21.3</c:v>
                </c:pt>
                <c:pt idx="3">
                  <c:v>28.5</c:v>
                </c:pt>
                <c:pt idx="4">
                  <c:v>20.8</c:v>
                </c:pt>
                <c:pt idx="5">
                  <c:v>25.1</c:v>
                </c:pt>
                <c:pt idx="6">
                  <c:v>33.200000000000003</c:v>
                </c:pt>
                <c:pt idx="7">
                  <c:v>44.91</c:v>
                </c:pt>
              </c:numCache>
            </c:numRef>
          </c:val>
          <c:smooth val="0"/>
          <c:extLst>
            <c:ext xmlns:c16="http://schemas.microsoft.com/office/drawing/2014/chart" uri="{C3380CC4-5D6E-409C-BE32-E72D297353CC}">
              <c16:uniqueId val="{00000001-FF34-4EAB-B8A8-3AD47DDA43D2}"/>
            </c:ext>
          </c:extLst>
        </c:ser>
        <c:ser>
          <c:idx val="1"/>
          <c:order val="1"/>
          <c:tx>
            <c:strRef>
              <c:f>Sheet1!$C$1</c:f>
              <c:strCache>
                <c:ptCount val="1"/>
                <c:pt idx="0">
                  <c:v>Non-disabled (national)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0.0</c:formatCode>
                <c:ptCount val="8"/>
                <c:pt idx="0">
                  <c:v>22</c:v>
                </c:pt>
                <c:pt idx="1">
                  <c:v>29.2</c:v>
                </c:pt>
                <c:pt idx="2">
                  <c:v>29.2</c:v>
                </c:pt>
                <c:pt idx="3">
                  <c:v>31.8</c:v>
                </c:pt>
                <c:pt idx="4">
                  <c:v>32.200000000000003</c:v>
                </c:pt>
                <c:pt idx="5">
                  <c:v>32.299999999999997</c:v>
                </c:pt>
                <c:pt idx="6">
                  <c:v>33.200000000000003</c:v>
                </c:pt>
                <c:pt idx="7">
                  <c:v>35.15</c:v>
                </c:pt>
              </c:numCache>
            </c:numRef>
          </c:val>
          <c:smooth val="0"/>
          <c:extLst>
            <c:ext xmlns:c16="http://schemas.microsoft.com/office/drawing/2014/chart" uri="{C3380CC4-5D6E-409C-BE32-E72D297353CC}">
              <c16:uniqueId val="{00000002-FF34-4EAB-B8A8-3AD47DDA43D2}"/>
            </c:ext>
          </c:extLst>
        </c:ser>
        <c:ser>
          <c:idx val="2"/>
          <c:order val="2"/>
          <c:tx>
            <c:strRef>
              <c:f>Sheet1!$D$1</c:f>
              <c:strCache>
                <c:ptCount val="1"/>
                <c:pt idx="0">
                  <c:v>Disabled (EU)</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0.0</c:formatCode>
                <c:ptCount val="8"/>
                <c:pt idx="0">
                  <c:v>20.399999999999999</c:v>
                </c:pt>
                <c:pt idx="1">
                  <c:v>21.6</c:v>
                </c:pt>
                <c:pt idx="2">
                  <c:v>22.8</c:v>
                </c:pt>
                <c:pt idx="3">
                  <c:v>27.1</c:v>
                </c:pt>
                <c:pt idx="4">
                  <c:v>27.8</c:v>
                </c:pt>
                <c:pt idx="5">
                  <c:v>28</c:v>
                </c:pt>
                <c:pt idx="6">
                  <c:v>29.7</c:v>
                </c:pt>
                <c:pt idx="7">
                  <c:v>29.35</c:v>
                </c:pt>
              </c:numCache>
            </c:numRef>
          </c:val>
          <c:smooth val="0"/>
          <c:extLst>
            <c:ext xmlns:c16="http://schemas.microsoft.com/office/drawing/2014/chart" uri="{C3380CC4-5D6E-409C-BE32-E72D297353CC}">
              <c16:uniqueId val="{00000003-FF34-4EAB-B8A8-3AD47DDA43D2}"/>
            </c:ext>
          </c:extLst>
        </c:ser>
        <c:ser>
          <c:idx val="3"/>
          <c:order val="3"/>
          <c:tx>
            <c:strRef>
              <c:f>Sheet1!$E$1</c:f>
              <c:strCache>
                <c:ptCount val="1"/>
                <c:pt idx="0">
                  <c:v>Non-disabled (EU)</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0.0</c:formatCode>
                <c:ptCount val="8"/>
                <c:pt idx="0">
                  <c:v>33.1</c:v>
                </c:pt>
                <c:pt idx="1">
                  <c:v>35.4</c:v>
                </c:pt>
                <c:pt idx="2">
                  <c:v>37</c:v>
                </c:pt>
                <c:pt idx="3">
                  <c:v>36.9</c:v>
                </c:pt>
                <c:pt idx="4">
                  <c:v>39.299999999999997</c:v>
                </c:pt>
                <c:pt idx="5">
                  <c:v>40.700000000000003</c:v>
                </c:pt>
                <c:pt idx="6">
                  <c:v>42.6</c:v>
                </c:pt>
                <c:pt idx="7">
                  <c:v>43</c:v>
                </c:pt>
              </c:numCache>
            </c:numRef>
          </c:val>
          <c:smooth val="0"/>
          <c:extLst>
            <c:ext xmlns:c16="http://schemas.microsoft.com/office/drawing/2014/chart" uri="{C3380CC4-5D6E-409C-BE32-E72D297353CC}">
              <c16:uniqueId val="{00000004-FF34-4EAB-B8A8-3AD47DDA43D2}"/>
            </c:ext>
          </c:extLst>
        </c:ser>
        <c:dLbls>
          <c:showLegendKey val="0"/>
          <c:showVal val="0"/>
          <c:showCatName val="0"/>
          <c:showSerName val="0"/>
          <c:showPercent val="0"/>
          <c:showBubbleSize val="0"/>
        </c:dLbls>
        <c:marker val="1"/>
        <c:smooth val="0"/>
        <c:axId val="131577344"/>
        <c:axId val="131578880"/>
      </c:lineChart>
      <c:catAx>
        <c:axId val="131577344"/>
        <c:scaling>
          <c:orientation val="minMax"/>
        </c:scaling>
        <c:delete val="0"/>
        <c:axPos val="b"/>
        <c:numFmt formatCode="General" sourceLinked="1"/>
        <c:majorTickMark val="none"/>
        <c:minorTickMark val="none"/>
        <c:tickLblPos val="nextTo"/>
        <c:crossAx val="131578880"/>
        <c:crosses val="autoZero"/>
        <c:auto val="1"/>
        <c:lblAlgn val="ctr"/>
        <c:lblOffset val="100"/>
        <c:noMultiLvlLbl val="0"/>
      </c:catAx>
      <c:valAx>
        <c:axId val="1315788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15773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Main types of </a:t>
            </a:r>
            <a:r>
              <a:rPr lang="en-GB" baseline="0"/>
              <a:t>h</a:t>
            </a:r>
            <a:r>
              <a:rPr lang="en-GB"/>
              <a:t>ousehold poverty risk</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25.58</c:v>
                </c:pt>
                <c:pt idx="1">
                  <c:v>8.3000000000000007</c:v>
                </c:pt>
                <c:pt idx="2">
                  <c:v>23.73</c:v>
                </c:pt>
                <c:pt idx="3">
                  <c:v>15.96</c:v>
                </c:pt>
                <c:pt idx="4">
                  <c:v>14.54</c:v>
                </c:pt>
                <c:pt idx="5">
                  <c:v>6.98</c:v>
                </c:pt>
              </c:numCache>
            </c:numRef>
          </c:val>
          <c:extLst>
            <c:ext xmlns:c16="http://schemas.microsoft.com/office/drawing/2014/chart" uri="{C3380CC4-5D6E-409C-BE32-E72D297353CC}">
              <c16:uniqueId val="{00000000-E765-423E-9BFC-7CF23691819F}"/>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13.18</c:v>
                </c:pt>
                <c:pt idx="1">
                  <c:v>5.22</c:v>
                </c:pt>
                <c:pt idx="2">
                  <c:v>14.19</c:v>
                </c:pt>
                <c:pt idx="3">
                  <c:v>10.79</c:v>
                </c:pt>
                <c:pt idx="4">
                  <c:v>13.79</c:v>
                </c:pt>
                <c:pt idx="5">
                  <c:v>6.75</c:v>
                </c:pt>
              </c:numCache>
            </c:numRef>
          </c:val>
          <c:extLst>
            <c:ext xmlns:c16="http://schemas.microsoft.com/office/drawing/2014/chart" uri="{C3380CC4-5D6E-409C-BE32-E72D297353CC}">
              <c16:uniqueId val="{00000001-E765-423E-9BFC-7CF23691819F}"/>
            </c:ext>
          </c:extLst>
        </c:ser>
        <c:dLbls>
          <c:showLegendKey val="0"/>
          <c:showVal val="0"/>
          <c:showCatName val="0"/>
          <c:showSerName val="0"/>
          <c:showPercent val="0"/>
          <c:showBubbleSize val="0"/>
        </c:dLbls>
        <c:gapWidth val="150"/>
        <c:axId val="134043904"/>
        <c:axId val="134049792"/>
      </c:barChart>
      <c:catAx>
        <c:axId val="134043904"/>
        <c:scaling>
          <c:orientation val="minMax"/>
        </c:scaling>
        <c:delete val="0"/>
        <c:axPos val="b"/>
        <c:numFmt formatCode="General" sourceLinked="1"/>
        <c:majorTickMark val="none"/>
        <c:minorTickMark val="none"/>
        <c:tickLblPos val="nextTo"/>
        <c:crossAx val="134049792"/>
        <c:crosses val="autoZero"/>
        <c:auto val="1"/>
        <c:lblAlgn val="ctr"/>
        <c:lblOffset val="100"/>
        <c:noMultiLvlLbl val="0"/>
      </c:catAx>
      <c:valAx>
        <c:axId val="13404979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4043904"/>
        <c:crosses val="autoZero"/>
        <c:crossBetween val="between"/>
      </c:valAx>
      <c:dTable>
        <c:showHorzBorder val="1"/>
        <c:showVertBorder val="1"/>
        <c:showOutline val="1"/>
        <c:showKeys val="1"/>
        <c:txPr>
          <a:bodyPr/>
          <a:lstStyle/>
          <a:p>
            <a:pPr rtl="0">
              <a:defRPr spc="-100" baseline="0"/>
            </a:pPr>
            <a:endParaRPr lang="en-NL"/>
          </a:p>
        </c:txPr>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20.8</c:v>
                </c:pt>
                <c:pt idx="1">
                  <c:v>27.44</c:v>
                </c:pt>
                <c:pt idx="2">
                  <c:v>36.08</c:v>
                </c:pt>
                <c:pt idx="3">
                  <c:v>30.16</c:v>
                </c:pt>
                <c:pt idx="4">
                  <c:v>30.22</c:v>
                </c:pt>
                <c:pt idx="5">
                  <c:v>21.68</c:v>
                </c:pt>
                <c:pt idx="6">
                  <c:v>19.899999999999999</c:v>
                </c:pt>
              </c:numCache>
            </c:numRef>
          </c:val>
          <c:extLst>
            <c:ext xmlns:c16="http://schemas.microsoft.com/office/drawing/2014/chart" uri="{C3380CC4-5D6E-409C-BE32-E72D297353CC}">
              <c16:uniqueId val="{00000000-82CD-4ABD-8CE7-55918EFF0A42}"/>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15.02</c:v>
                </c:pt>
                <c:pt idx="1">
                  <c:v>19.440000000000001</c:v>
                </c:pt>
                <c:pt idx="2">
                  <c:v>24.68</c:v>
                </c:pt>
                <c:pt idx="3">
                  <c:v>20.21</c:v>
                </c:pt>
                <c:pt idx="4">
                  <c:v>22.02</c:v>
                </c:pt>
                <c:pt idx="5">
                  <c:v>15.1</c:v>
                </c:pt>
                <c:pt idx="6">
                  <c:v>14.94</c:v>
                </c:pt>
              </c:numCache>
            </c:numRef>
          </c:val>
          <c:extLst>
            <c:ext xmlns:c16="http://schemas.microsoft.com/office/drawing/2014/chart" uri="{C3380CC4-5D6E-409C-BE32-E72D297353CC}">
              <c16:uniqueId val="{00000001-82CD-4ABD-8CE7-55918EFF0A42}"/>
            </c:ext>
          </c:extLst>
        </c:ser>
        <c:dLbls>
          <c:showLegendKey val="0"/>
          <c:showVal val="0"/>
          <c:showCatName val="0"/>
          <c:showSerName val="0"/>
          <c:showPercent val="0"/>
          <c:showBubbleSize val="0"/>
        </c:dLbls>
        <c:gapWidth val="150"/>
        <c:axId val="134380160"/>
        <c:axId val="134381952"/>
      </c:barChart>
      <c:catAx>
        <c:axId val="134380160"/>
        <c:scaling>
          <c:orientation val="minMax"/>
        </c:scaling>
        <c:delete val="0"/>
        <c:axPos val="b"/>
        <c:numFmt formatCode="General" sourceLinked="1"/>
        <c:majorTickMark val="none"/>
        <c:minorTickMark val="none"/>
        <c:tickLblPos val="nextTo"/>
        <c:crossAx val="134381952"/>
        <c:crosses val="autoZero"/>
        <c:auto val="1"/>
        <c:lblAlgn val="ctr"/>
        <c:lblOffset val="100"/>
        <c:noMultiLvlLbl val="0"/>
      </c:catAx>
      <c:valAx>
        <c:axId val="13438195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4380160"/>
        <c:crosses val="autoZero"/>
        <c:crossBetween val="between"/>
      </c:valAx>
      <c:dTable>
        <c:showHorzBorder val="1"/>
        <c:showVertBorder val="1"/>
        <c:showOutline val="1"/>
        <c:showKeys val="1"/>
        <c:txPr>
          <a:bodyPr/>
          <a:lstStyle/>
          <a:p>
            <a:pPr rtl="0">
              <a:defRPr spc="-100" baseline="0"/>
            </a:pPr>
            <a:endParaRPr lang="en-NL"/>
          </a:p>
        </c:txPr>
      </c:dTable>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38.43</c:v>
                </c:pt>
                <c:pt idx="1">
                  <c:v>21.93</c:v>
                </c:pt>
                <c:pt idx="2">
                  <c:v>20.09</c:v>
                </c:pt>
                <c:pt idx="3">
                  <c:v>14.39</c:v>
                </c:pt>
              </c:numCache>
            </c:numRef>
          </c:val>
          <c:extLst>
            <c:ext xmlns:c16="http://schemas.microsoft.com/office/drawing/2014/chart" uri="{C3380CC4-5D6E-409C-BE32-E72D297353CC}">
              <c16:uniqueId val="{00000000-10E8-469D-BB43-FC226A396A3C}"/>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25.46</c:v>
                </c:pt>
                <c:pt idx="1">
                  <c:v>15.44</c:v>
                </c:pt>
                <c:pt idx="2">
                  <c:v>14.22</c:v>
                </c:pt>
                <c:pt idx="3">
                  <c:v>8.5</c:v>
                </c:pt>
              </c:numCache>
            </c:numRef>
          </c:val>
          <c:extLst>
            <c:ext xmlns:c16="http://schemas.microsoft.com/office/drawing/2014/chart" uri="{C3380CC4-5D6E-409C-BE32-E72D297353CC}">
              <c16:uniqueId val="{00000001-10E8-469D-BB43-FC226A396A3C}"/>
            </c:ext>
          </c:extLst>
        </c:ser>
        <c:dLbls>
          <c:showLegendKey val="0"/>
          <c:showVal val="0"/>
          <c:showCatName val="0"/>
          <c:showSerName val="0"/>
          <c:showPercent val="0"/>
          <c:showBubbleSize val="0"/>
        </c:dLbls>
        <c:gapWidth val="150"/>
        <c:axId val="135487488"/>
        <c:axId val="135489024"/>
      </c:barChart>
      <c:catAx>
        <c:axId val="135487488"/>
        <c:scaling>
          <c:orientation val="minMax"/>
        </c:scaling>
        <c:delete val="0"/>
        <c:axPos val="b"/>
        <c:numFmt formatCode="General" sourceLinked="1"/>
        <c:majorTickMark val="none"/>
        <c:minorTickMark val="none"/>
        <c:tickLblPos val="nextTo"/>
        <c:crossAx val="135489024"/>
        <c:crosses val="autoZero"/>
        <c:auto val="1"/>
        <c:lblAlgn val="ctr"/>
        <c:lblOffset val="100"/>
        <c:noMultiLvlLbl val="0"/>
      </c:catAx>
      <c:valAx>
        <c:axId val="13548902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54874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Sheet1!$B$2:$B$9</c:f>
              <c:numCache>
                <c:formatCode>0.0</c:formatCode>
                <c:ptCount val="8"/>
                <c:pt idx="0">
                  <c:v>73.12</c:v>
                </c:pt>
                <c:pt idx="1">
                  <c:v>55.16</c:v>
                </c:pt>
                <c:pt idx="2">
                  <c:v>27.59</c:v>
                </c:pt>
                <c:pt idx="3">
                  <c:v>44.65</c:v>
                </c:pt>
                <c:pt idx="4">
                  <c:v>50.59</c:v>
                </c:pt>
                <c:pt idx="5">
                  <c:v>66.86</c:v>
                </c:pt>
                <c:pt idx="6">
                  <c:v>79.39</c:v>
                </c:pt>
                <c:pt idx="7">
                  <c:v>47.42</c:v>
                </c:pt>
              </c:numCache>
            </c:numRef>
          </c:val>
          <c:extLst>
            <c:ext xmlns:c16="http://schemas.microsoft.com/office/drawing/2014/chart" uri="{C3380CC4-5D6E-409C-BE32-E72D297353CC}">
              <c16:uniqueId val="{00000000-817D-4A08-82E5-A808C27AEA7C}"/>
            </c:ext>
          </c:extLst>
        </c:ser>
        <c:ser>
          <c:idx val="1"/>
          <c:order val="1"/>
          <c:tx>
            <c:strRef>
              <c:f>Sheet1!$C$1</c:f>
              <c:strCache>
                <c:ptCount val="1"/>
                <c:pt idx="0">
                  <c:v>National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Sheet1!$C$2:$C$9</c:f>
              <c:numCache>
                <c:formatCode>0.0</c:formatCode>
                <c:ptCount val="8"/>
                <c:pt idx="0">
                  <c:v>74.44</c:v>
                </c:pt>
                <c:pt idx="1">
                  <c:v>60.59</c:v>
                </c:pt>
                <c:pt idx="2">
                  <c:v>28.88</c:v>
                </c:pt>
                <c:pt idx="3">
                  <c:v>50.67</c:v>
                </c:pt>
                <c:pt idx="4">
                  <c:v>56.54</c:v>
                </c:pt>
                <c:pt idx="5">
                  <c:v>67.98</c:v>
                </c:pt>
                <c:pt idx="6">
                  <c:v>80.61</c:v>
                </c:pt>
                <c:pt idx="7">
                  <c:v>53.4</c:v>
                </c:pt>
              </c:numCache>
            </c:numRef>
          </c:val>
          <c:extLst>
            <c:ext xmlns:c16="http://schemas.microsoft.com/office/drawing/2014/chart" uri="{C3380CC4-5D6E-409C-BE32-E72D297353CC}">
              <c16:uniqueId val="{00000001-817D-4A08-82E5-A808C27AEA7C}"/>
            </c:ext>
          </c:extLst>
        </c:ser>
        <c:dLbls>
          <c:showLegendKey val="0"/>
          <c:showVal val="0"/>
          <c:showCatName val="0"/>
          <c:showSerName val="0"/>
          <c:showPercent val="0"/>
          <c:showBubbleSize val="0"/>
        </c:dLbls>
        <c:gapWidth val="150"/>
        <c:axId val="128076416"/>
        <c:axId val="128086400"/>
      </c:barChart>
      <c:catAx>
        <c:axId val="128076416"/>
        <c:scaling>
          <c:orientation val="minMax"/>
        </c:scaling>
        <c:delete val="0"/>
        <c:axPos val="b"/>
        <c:numFmt formatCode="General" sourceLinked="1"/>
        <c:majorTickMark val="none"/>
        <c:minorTickMark val="none"/>
        <c:tickLblPos val="nextTo"/>
        <c:crossAx val="128086400"/>
        <c:crosses val="autoZero"/>
        <c:auto val="1"/>
        <c:lblAlgn val="ctr"/>
        <c:lblOffset val="100"/>
        <c:noMultiLvlLbl val="0"/>
      </c:catAx>
      <c:valAx>
        <c:axId val="1280864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8076416"/>
        <c:crosses val="autoZero"/>
        <c:crossBetween val="between"/>
      </c:valAx>
      <c:dTable>
        <c:showHorzBorder val="1"/>
        <c:showVertBorder val="1"/>
        <c:showOutline val="1"/>
        <c:showKeys val="1"/>
        <c:txPr>
          <a:bodyPr/>
          <a:lstStyle/>
          <a:p>
            <a:pPr rtl="0">
              <a:defRPr spc="-100" baseline="0"/>
            </a:pPr>
            <a:endParaRPr lang="en-NL"/>
          </a:p>
        </c:txPr>
      </c:dTable>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in national risk of household poverty or social exclusion</a:t>
            </a:r>
          </a:p>
        </c:rich>
      </c:tx>
      <c:overlay val="0"/>
    </c:title>
    <c:autoTitleDeleted val="0"/>
    <c:plotArea>
      <c:layout/>
      <c:lineChart>
        <c:grouping val="standard"/>
        <c:varyColors val="0"/>
        <c:ser>
          <c:idx val="0"/>
          <c:order val="0"/>
          <c:tx>
            <c:strRef>
              <c:f>Sheet1!$B$1</c:f>
              <c:strCache>
                <c:ptCount val="1"/>
                <c:pt idx="0">
                  <c:v>Disabled (16-64)</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0.0</c:formatCode>
                <c:ptCount val="6"/>
                <c:pt idx="0">
                  <c:v>27.3</c:v>
                </c:pt>
                <c:pt idx="1">
                  <c:v>28.4</c:v>
                </c:pt>
                <c:pt idx="2">
                  <c:v>27.5</c:v>
                </c:pt>
                <c:pt idx="3">
                  <c:v>27.1</c:v>
                </c:pt>
                <c:pt idx="4">
                  <c:v>24.7</c:v>
                </c:pt>
                <c:pt idx="5">
                  <c:v>25.46</c:v>
                </c:pt>
              </c:numCache>
            </c:numRef>
          </c:val>
          <c:smooth val="0"/>
          <c:extLst>
            <c:ext xmlns:c16="http://schemas.microsoft.com/office/drawing/2014/chart" uri="{C3380CC4-5D6E-409C-BE32-E72D297353CC}">
              <c16:uniqueId val="{00000000-89B9-4B4A-937F-3021020A4E10}"/>
            </c:ext>
          </c:extLst>
        </c:ser>
        <c:ser>
          <c:idx val="1"/>
          <c:order val="1"/>
          <c:tx>
            <c:strRef>
              <c:f>Sheet1!$C$1</c:f>
              <c:strCache>
                <c:ptCount val="1"/>
                <c:pt idx="0">
                  <c:v>Non-disabled (16-64)</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0">
                  <c:v>18.100000000000001</c:v>
                </c:pt>
                <c:pt idx="1">
                  <c:v>18.100000000000001</c:v>
                </c:pt>
                <c:pt idx="2">
                  <c:v>17.8</c:v>
                </c:pt>
                <c:pt idx="3">
                  <c:v>17.5</c:v>
                </c:pt>
                <c:pt idx="4">
                  <c:v>16.3</c:v>
                </c:pt>
                <c:pt idx="5">
                  <c:v>15.44</c:v>
                </c:pt>
              </c:numCache>
            </c:numRef>
          </c:val>
          <c:smooth val="0"/>
          <c:extLst>
            <c:ext xmlns:c16="http://schemas.microsoft.com/office/drawing/2014/chart" uri="{C3380CC4-5D6E-409C-BE32-E72D297353CC}">
              <c16:uniqueId val="{00000001-89B9-4B4A-937F-3021020A4E10}"/>
            </c:ext>
          </c:extLst>
        </c:ser>
        <c:ser>
          <c:idx val="2"/>
          <c:order val="2"/>
          <c:tx>
            <c:strRef>
              <c:f>Sheet1!$D$1</c:f>
              <c:strCache>
                <c:ptCount val="1"/>
                <c:pt idx="0">
                  <c:v>Disabled (65+)</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Sheet1!$D$2:$D$7</c:f>
              <c:numCache>
                <c:formatCode>0.0</c:formatCode>
                <c:ptCount val="6"/>
                <c:pt idx="0">
                  <c:v>18.5</c:v>
                </c:pt>
                <c:pt idx="1">
                  <c:v>15.5</c:v>
                </c:pt>
                <c:pt idx="2">
                  <c:v>17.2</c:v>
                </c:pt>
                <c:pt idx="3">
                  <c:v>15.1</c:v>
                </c:pt>
                <c:pt idx="4">
                  <c:v>14.4</c:v>
                </c:pt>
                <c:pt idx="5">
                  <c:v>14.22</c:v>
                </c:pt>
              </c:numCache>
            </c:numRef>
          </c:val>
          <c:smooth val="0"/>
          <c:extLst>
            <c:ext xmlns:c16="http://schemas.microsoft.com/office/drawing/2014/chart" uri="{C3380CC4-5D6E-409C-BE32-E72D297353CC}">
              <c16:uniqueId val="{00000002-89B9-4B4A-937F-3021020A4E10}"/>
            </c:ext>
          </c:extLst>
        </c:ser>
        <c:ser>
          <c:idx val="3"/>
          <c:order val="3"/>
          <c:tx>
            <c:strRef>
              <c:f>Sheet1!$E$1</c:f>
              <c:strCache>
                <c:ptCount val="1"/>
                <c:pt idx="0">
                  <c:v>Non-disabled (65+)</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Sheet1!$E$2:$E$7</c:f>
              <c:numCache>
                <c:formatCode>0.0</c:formatCode>
                <c:ptCount val="6"/>
                <c:pt idx="0">
                  <c:v>9.1999999999999993</c:v>
                </c:pt>
                <c:pt idx="1">
                  <c:v>10.4</c:v>
                </c:pt>
                <c:pt idx="2">
                  <c:v>12.6</c:v>
                </c:pt>
                <c:pt idx="3">
                  <c:v>9</c:v>
                </c:pt>
                <c:pt idx="4">
                  <c:v>9.6999999999999993</c:v>
                </c:pt>
                <c:pt idx="5">
                  <c:v>8.5</c:v>
                </c:pt>
              </c:numCache>
            </c:numRef>
          </c:val>
          <c:smooth val="0"/>
          <c:extLst>
            <c:ext xmlns:c16="http://schemas.microsoft.com/office/drawing/2014/chart" uri="{C3380CC4-5D6E-409C-BE32-E72D297353CC}">
              <c16:uniqueId val="{00000003-89B9-4B4A-937F-3021020A4E10}"/>
            </c:ext>
          </c:extLst>
        </c:ser>
        <c:ser>
          <c:idx val="4"/>
          <c:order val="4"/>
          <c:tx>
            <c:strRef>
              <c:f>Sheet1!$F$1</c:f>
              <c:strCache>
                <c:ptCount val="1"/>
                <c:pt idx="0">
                  <c:v>EU average (all 16+)</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Sheet1!$F$2:$F$7</c:f>
              <c:numCache>
                <c:formatCode>0.0</c:formatCode>
                <c:ptCount val="6"/>
                <c:pt idx="0">
                  <c:v>22.7</c:v>
                </c:pt>
                <c:pt idx="1">
                  <c:v>23.6</c:v>
                </c:pt>
                <c:pt idx="2">
                  <c:v>24.1</c:v>
                </c:pt>
                <c:pt idx="3">
                  <c:v>23.8</c:v>
                </c:pt>
                <c:pt idx="4">
                  <c:v>23.8</c:v>
                </c:pt>
                <c:pt idx="5">
                  <c:v>23.17</c:v>
                </c:pt>
              </c:numCache>
            </c:numRef>
          </c:val>
          <c:smooth val="0"/>
          <c:extLst>
            <c:ext xmlns:c16="http://schemas.microsoft.com/office/drawing/2014/chart" uri="{C3380CC4-5D6E-409C-BE32-E72D297353CC}">
              <c16:uniqueId val="{00000004-89B9-4B4A-937F-3021020A4E10}"/>
            </c:ext>
          </c:extLst>
        </c:ser>
        <c:dLbls>
          <c:showLegendKey val="0"/>
          <c:showVal val="0"/>
          <c:showCatName val="0"/>
          <c:showSerName val="0"/>
          <c:showPercent val="0"/>
          <c:showBubbleSize val="0"/>
        </c:dLbls>
        <c:marker val="1"/>
        <c:smooth val="0"/>
        <c:axId val="135565696"/>
        <c:axId val="135567232"/>
      </c:lineChart>
      <c:catAx>
        <c:axId val="135565696"/>
        <c:scaling>
          <c:orientation val="minMax"/>
        </c:scaling>
        <c:delete val="0"/>
        <c:axPos val="b"/>
        <c:numFmt formatCode="General" sourceLinked="1"/>
        <c:majorTickMark val="none"/>
        <c:minorTickMark val="none"/>
        <c:tickLblPos val="nextTo"/>
        <c:crossAx val="135567232"/>
        <c:crosses val="autoZero"/>
        <c:auto val="1"/>
        <c:lblAlgn val="ctr"/>
        <c:lblOffset val="100"/>
        <c:noMultiLvlLbl val="0"/>
      </c:catAx>
      <c:valAx>
        <c:axId val="1355672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55656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24.650289999999998</c:v>
                </c:pt>
                <c:pt idx="1">
                  <c:v>55.787278999999998</c:v>
                </c:pt>
                <c:pt idx="2">
                  <c:v>61.676109000000004</c:v>
                </c:pt>
                <c:pt idx="3">
                  <c:v>56.583708000000001</c:v>
                </c:pt>
                <c:pt idx="4">
                  <c:v>33.455477999999999</c:v>
                </c:pt>
              </c:numCache>
            </c:numRef>
          </c:val>
          <c:smooth val="0"/>
          <c:extLst>
            <c:ext xmlns:c16="http://schemas.microsoft.com/office/drawing/2014/chart" uri="{C3380CC4-5D6E-409C-BE32-E72D297353CC}">
              <c16:uniqueId val="{00000000-463F-4D90-9734-3860316F093C}"/>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30.100293000000001</c:v>
                </c:pt>
                <c:pt idx="1">
                  <c:v>75.006152999999998</c:v>
                </c:pt>
                <c:pt idx="2">
                  <c:v>83.757807</c:v>
                </c:pt>
                <c:pt idx="3">
                  <c:v>83.945782999999992</c:v>
                </c:pt>
                <c:pt idx="4">
                  <c:v>59.993842000000001</c:v>
                </c:pt>
              </c:numCache>
            </c:numRef>
          </c:val>
          <c:smooth val="0"/>
          <c:extLst>
            <c:ext xmlns:c16="http://schemas.microsoft.com/office/drawing/2014/chart" uri="{C3380CC4-5D6E-409C-BE32-E72D297353CC}">
              <c16:uniqueId val="{00000001-463F-4D90-9734-3860316F093C}"/>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20.557088</c:v>
                </c:pt>
                <c:pt idx="1">
                  <c:v>62.295383999999999</c:v>
                </c:pt>
                <c:pt idx="2">
                  <c:v>75.366474999999994</c:v>
                </c:pt>
                <c:pt idx="3">
                  <c:v>71.842179000000002</c:v>
                </c:pt>
                <c:pt idx="4">
                  <c:v>31.797140000000002</c:v>
                </c:pt>
              </c:numCache>
            </c:numRef>
          </c:val>
          <c:smooth val="0"/>
          <c:extLst>
            <c:ext xmlns:c16="http://schemas.microsoft.com/office/drawing/2014/chart" uri="{C3380CC4-5D6E-409C-BE32-E72D297353CC}">
              <c16:uniqueId val="{00000002-463F-4D90-9734-3860316F093C}"/>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26.062477999999999</c:v>
                </c:pt>
                <c:pt idx="1">
                  <c:v>78.206002999999995</c:v>
                </c:pt>
                <c:pt idx="2">
                  <c:v>87.411391000000009</c:v>
                </c:pt>
                <c:pt idx="3">
                  <c:v>88.433857000000003</c:v>
                </c:pt>
                <c:pt idx="4">
                  <c:v>59.117359999999998</c:v>
                </c:pt>
              </c:numCache>
            </c:numRef>
          </c:val>
          <c:smooth val="0"/>
          <c:extLst>
            <c:ext xmlns:c16="http://schemas.microsoft.com/office/drawing/2014/chart" uri="{C3380CC4-5D6E-409C-BE32-E72D297353CC}">
              <c16:uniqueId val="{00000003-463F-4D90-9734-3860316F093C}"/>
            </c:ext>
          </c:extLst>
        </c:ser>
        <c:dLbls>
          <c:showLegendKey val="0"/>
          <c:showVal val="0"/>
          <c:showCatName val="0"/>
          <c:showSerName val="0"/>
          <c:showPercent val="0"/>
          <c:showBubbleSize val="0"/>
        </c:dLbls>
        <c:marker val="1"/>
        <c:smooth val="0"/>
        <c:axId val="129021824"/>
        <c:axId val="129023360"/>
      </c:lineChart>
      <c:catAx>
        <c:axId val="129021824"/>
        <c:scaling>
          <c:orientation val="minMax"/>
        </c:scaling>
        <c:delete val="0"/>
        <c:axPos val="b"/>
        <c:numFmt formatCode="General" sourceLinked="1"/>
        <c:majorTickMark val="none"/>
        <c:minorTickMark val="none"/>
        <c:tickLblPos val="nextTo"/>
        <c:crossAx val="129023360"/>
        <c:crosses val="autoZero"/>
        <c:auto val="1"/>
        <c:lblAlgn val="ctr"/>
        <c:lblOffset val="100"/>
        <c:noMultiLvlLbl val="0"/>
      </c:catAx>
      <c:valAx>
        <c:axId val="12902336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90218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National</a:t>
            </a:r>
            <a:r>
              <a:rPr lang="en-GB" sz="1600" baseline="0"/>
              <a:t> t</a:t>
            </a:r>
            <a:r>
              <a:rPr lang="en-GB" sz="1600"/>
              <a:t>rends in 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0.0</c:formatCode>
                <c:ptCount val="8"/>
                <c:pt idx="0">
                  <c:v>47.8</c:v>
                </c:pt>
                <c:pt idx="1">
                  <c:v>46.8</c:v>
                </c:pt>
                <c:pt idx="2">
                  <c:v>46.6</c:v>
                </c:pt>
                <c:pt idx="3">
                  <c:v>45.5</c:v>
                </c:pt>
                <c:pt idx="4">
                  <c:v>44.3</c:v>
                </c:pt>
                <c:pt idx="5">
                  <c:v>43.6</c:v>
                </c:pt>
                <c:pt idx="6">
                  <c:v>50.09</c:v>
                </c:pt>
                <c:pt idx="7">
                  <c:v>50.67</c:v>
                </c:pt>
              </c:numCache>
            </c:numRef>
          </c:val>
          <c:smooth val="0"/>
          <c:extLst>
            <c:ext xmlns:c16="http://schemas.microsoft.com/office/drawing/2014/chart" uri="{C3380CC4-5D6E-409C-BE32-E72D297353CC}">
              <c16:uniqueId val="{00000000-8C10-4B3F-A330-DCD946C31EB8}"/>
            </c:ext>
          </c:extLst>
        </c:ser>
        <c:ser>
          <c:idx val="1"/>
          <c:order val="1"/>
          <c:tx>
            <c:strRef>
              <c:f>Sheet1!$C$1</c:f>
              <c:strCache>
                <c:ptCount val="1"/>
                <c:pt idx="0">
                  <c:v>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0.0</c:formatCode>
                <c:ptCount val="8"/>
                <c:pt idx="0">
                  <c:v>60</c:v>
                </c:pt>
                <c:pt idx="1">
                  <c:v>59</c:v>
                </c:pt>
                <c:pt idx="2">
                  <c:v>55.1</c:v>
                </c:pt>
                <c:pt idx="3">
                  <c:v>55.3</c:v>
                </c:pt>
                <c:pt idx="4">
                  <c:v>52.7</c:v>
                </c:pt>
                <c:pt idx="5">
                  <c:v>53.7</c:v>
                </c:pt>
                <c:pt idx="6">
                  <c:v>55.74</c:v>
                </c:pt>
                <c:pt idx="7">
                  <c:v>56.54</c:v>
                </c:pt>
              </c:numCache>
            </c:numRef>
          </c:val>
          <c:smooth val="0"/>
          <c:extLst>
            <c:ext xmlns:c16="http://schemas.microsoft.com/office/drawing/2014/chart" uri="{C3380CC4-5D6E-409C-BE32-E72D297353CC}">
              <c16:uniqueId val="{00000001-8C10-4B3F-A330-DCD946C31EB8}"/>
            </c:ext>
          </c:extLst>
        </c:ser>
        <c:ser>
          <c:idx val="2"/>
          <c:order val="2"/>
          <c:tx>
            <c:strRef>
              <c:f>Sheet1!$D$1</c:f>
              <c:strCache>
                <c:ptCount val="1"/>
                <c:pt idx="0">
                  <c:v>Non-disabled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0.0</c:formatCode>
                <c:ptCount val="8"/>
                <c:pt idx="0">
                  <c:v>71.900000000000006</c:v>
                </c:pt>
                <c:pt idx="1">
                  <c:v>68.7</c:v>
                </c:pt>
                <c:pt idx="2">
                  <c:v>65.8</c:v>
                </c:pt>
                <c:pt idx="3">
                  <c:v>66</c:v>
                </c:pt>
                <c:pt idx="4">
                  <c:v>65.900000000000006</c:v>
                </c:pt>
                <c:pt idx="5">
                  <c:v>63.3</c:v>
                </c:pt>
                <c:pt idx="6">
                  <c:v>68.349999999999994</c:v>
                </c:pt>
                <c:pt idx="7">
                  <c:v>67.98</c:v>
                </c:pt>
              </c:numCache>
            </c:numRef>
          </c:val>
          <c:smooth val="0"/>
          <c:extLst>
            <c:ext xmlns:c16="http://schemas.microsoft.com/office/drawing/2014/chart" uri="{C3380CC4-5D6E-409C-BE32-E72D297353CC}">
              <c16:uniqueId val="{00000002-8C10-4B3F-A330-DCD946C31EB8}"/>
            </c:ext>
          </c:extLst>
        </c:ser>
        <c:ser>
          <c:idx val="3"/>
          <c:order val="3"/>
          <c:tx>
            <c:strRef>
              <c:f>Sheet1!$E$1</c:f>
              <c:strCache>
                <c:ptCount val="1"/>
                <c:pt idx="0">
                  <c:v>Non-disabled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0.0</c:formatCode>
                <c:ptCount val="8"/>
                <c:pt idx="0">
                  <c:v>84.6</c:v>
                </c:pt>
                <c:pt idx="1">
                  <c:v>80.7</c:v>
                </c:pt>
                <c:pt idx="2">
                  <c:v>77</c:v>
                </c:pt>
                <c:pt idx="3">
                  <c:v>76.2</c:v>
                </c:pt>
                <c:pt idx="4">
                  <c:v>76</c:v>
                </c:pt>
                <c:pt idx="5">
                  <c:v>75.599999999999994</c:v>
                </c:pt>
                <c:pt idx="6">
                  <c:v>79.45</c:v>
                </c:pt>
                <c:pt idx="7">
                  <c:v>80.61</c:v>
                </c:pt>
              </c:numCache>
            </c:numRef>
          </c:val>
          <c:smooth val="0"/>
          <c:extLst>
            <c:ext xmlns:c16="http://schemas.microsoft.com/office/drawing/2014/chart" uri="{C3380CC4-5D6E-409C-BE32-E72D297353CC}">
              <c16:uniqueId val="{00000003-8C10-4B3F-A330-DCD946C31EB8}"/>
            </c:ext>
          </c:extLst>
        </c:ser>
        <c:ser>
          <c:idx val="4"/>
          <c:order val="4"/>
          <c:tx>
            <c:strRef>
              <c:f>Sheet1!$F$1</c:f>
              <c:strCache>
                <c:ptCount val="1"/>
                <c:pt idx="0">
                  <c:v>EU average (total)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0.0</c:formatCode>
                <c:ptCount val="8"/>
                <c:pt idx="0">
                  <c:v>68.7</c:v>
                </c:pt>
                <c:pt idx="1">
                  <c:v>67.599999999999994</c:v>
                </c:pt>
                <c:pt idx="2">
                  <c:v>67.2</c:v>
                </c:pt>
                <c:pt idx="3">
                  <c:v>67.2</c:v>
                </c:pt>
                <c:pt idx="4">
                  <c:v>67</c:v>
                </c:pt>
                <c:pt idx="5">
                  <c:v>66.900000000000006</c:v>
                </c:pt>
                <c:pt idx="6">
                  <c:v>67.8</c:v>
                </c:pt>
                <c:pt idx="7">
                  <c:v>68.37</c:v>
                </c:pt>
              </c:numCache>
            </c:numRef>
          </c:val>
          <c:smooth val="0"/>
          <c:extLst>
            <c:ext xmlns:c16="http://schemas.microsoft.com/office/drawing/2014/chart" uri="{C3380CC4-5D6E-409C-BE32-E72D297353CC}">
              <c16:uniqueId val="{00000004-8C10-4B3F-A330-DCD946C31EB8}"/>
            </c:ext>
          </c:extLst>
        </c:ser>
        <c:dLbls>
          <c:showLegendKey val="0"/>
          <c:showVal val="0"/>
          <c:showCatName val="0"/>
          <c:showSerName val="0"/>
          <c:showPercent val="0"/>
          <c:showBubbleSize val="0"/>
        </c:dLbls>
        <c:marker val="1"/>
        <c:smooth val="0"/>
        <c:axId val="129575168"/>
        <c:axId val="129589248"/>
      </c:lineChart>
      <c:catAx>
        <c:axId val="129575168"/>
        <c:scaling>
          <c:orientation val="minMax"/>
        </c:scaling>
        <c:delete val="0"/>
        <c:axPos val="b"/>
        <c:numFmt formatCode="General" sourceLinked="1"/>
        <c:majorTickMark val="none"/>
        <c:minorTickMark val="none"/>
        <c:tickLblPos val="nextTo"/>
        <c:crossAx val="129589248"/>
        <c:crosses val="autoZero"/>
        <c:auto val="1"/>
        <c:lblAlgn val="ctr"/>
        <c:lblOffset val="100"/>
        <c:noMultiLvlLbl val="0"/>
      </c:catAx>
      <c:valAx>
        <c:axId val="12958924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9575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079757174161486E-2"/>
          <c:y val="7.2571994078350591E-2"/>
          <c:w val="0.90026777944368142"/>
          <c:h val="0.72278560678920623"/>
        </c:manualLayout>
      </c:layout>
      <c:barChart>
        <c:barDir val="col"/>
        <c:grouping val="clustered"/>
        <c:varyColors val="0"/>
        <c:ser>
          <c:idx val="0"/>
          <c:order val="0"/>
          <c:tx>
            <c:strRef>
              <c:f>'EAO+pracujúci'!$C$67</c:f>
              <c:strCache>
                <c:ptCount val="1"/>
                <c:pt idx="0">
                  <c:v>employed</c:v>
                </c:pt>
              </c:strCache>
            </c:strRef>
          </c:tx>
          <c:spPr>
            <a:solidFill>
              <a:schemeClr val="accent1"/>
            </a:solidFill>
            <a:ln>
              <a:noFill/>
            </a:ln>
            <a:effectLst/>
          </c:spPr>
          <c:invertIfNegative val="0"/>
          <c:cat>
            <c:strRef>
              <c:f>('EAO+pracujúci'!$B$68,'EAO+pracujúci'!$B$73,'EAO+pracujúci'!$B$78,'EAO+pracujúci'!$B$83)</c:f>
              <c:strCache>
                <c:ptCount val="4"/>
                <c:pt idx="0">
                  <c:v>15 - 29 years</c:v>
                </c:pt>
                <c:pt idx="1">
                  <c:v>30 - 39 years</c:v>
                </c:pt>
                <c:pt idx="2">
                  <c:v>40 - 49 years</c:v>
                </c:pt>
                <c:pt idx="3">
                  <c:v>50 +</c:v>
                </c:pt>
              </c:strCache>
            </c:strRef>
          </c:cat>
          <c:val>
            <c:numRef>
              <c:f>('EAO+pracujúci'!$C$68,'EAO+pracujúci'!$C$73,'EAO+pracujúci'!$C$78,'EAO+pracujúci'!$C$83)</c:f>
              <c:numCache>
                <c:formatCode>General</c:formatCode>
                <c:ptCount val="4"/>
                <c:pt idx="0">
                  <c:v>18.7</c:v>
                </c:pt>
                <c:pt idx="1">
                  <c:v>28.3</c:v>
                </c:pt>
                <c:pt idx="2">
                  <c:v>26.1</c:v>
                </c:pt>
                <c:pt idx="3">
                  <c:v>27</c:v>
                </c:pt>
              </c:numCache>
            </c:numRef>
          </c:val>
          <c:extLst>
            <c:ext xmlns:c16="http://schemas.microsoft.com/office/drawing/2014/chart" uri="{C3380CC4-5D6E-409C-BE32-E72D297353CC}">
              <c16:uniqueId val="{00000000-0DD0-4EAB-9BCE-63E5B203CE2A}"/>
            </c:ext>
          </c:extLst>
        </c:ser>
        <c:ser>
          <c:idx val="1"/>
          <c:order val="1"/>
          <c:tx>
            <c:strRef>
              <c:f>'EAO+pracujúci'!$D$67</c:f>
              <c:strCache>
                <c:ptCount val="1"/>
                <c:pt idx="0">
                  <c:v>employed w/disabilities</c:v>
                </c:pt>
              </c:strCache>
            </c:strRef>
          </c:tx>
          <c:spPr>
            <a:solidFill>
              <a:schemeClr val="accent2"/>
            </a:solidFill>
            <a:ln>
              <a:noFill/>
            </a:ln>
            <a:effectLst/>
          </c:spPr>
          <c:invertIfNegative val="0"/>
          <c:val>
            <c:numRef>
              <c:f>('EAO+pracujúci'!$D$68,'EAO+pracujúci'!$D$73,'EAO+pracujúci'!$D$78,'EAO+pracujúci'!$D$83)</c:f>
              <c:numCache>
                <c:formatCode>General</c:formatCode>
                <c:ptCount val="4"/>
                <c:pt idx="0">
                  <c:v>11.5</c:v>
                </c:pt>
                <c:pt idx="1">
                  <c:v>19.399999999999999</c:v>
                </c:pt>
                <c:pt idx="2">
                  <c:v>26.5</c:v>
                </c:pt>
                <c:pt idx="3">
                  <c:v>42.6</c:v>
                </c:pt>
              </c:numCache>
            </c:numRef>
          </c:val>
          <c:extLst>
            <c:ext xmlns:c16="http://schemas.microsoft.com/office/drawing/2014/chart" uri="{C3380CC4-5D6E-409C-BE32-E72D297353CC}">
              <c16:uniqueId val="{00000001-0DD0-4EAB-9BCE-63E5B203CE2A}"/>
            </c:ext>
          </c:extLst>
        </c:ser>
        <c:dLbls>
          <c:showLegendKey val="0"/>
          <c:showVal val="0"/>
          <c:showCatName val="0"/>
          <c:showSerName val="0"/>
          <c:showPercent val="0"/>
          <c:showBubbleSize val="0"/>
        </c:dLbls>
        <c:gapWidth val="219"/>
        <c:overlap val="-27"/>
        <c:axId val="129653760"/>
        <c:axId val="129655936"/>
      </c:barChart>
      <c:catAx>
        <c:axId val="129653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age</a:t>
                </a:r>
              </a:p>
            </c:rich>
          </c:tx>
          <c:layout>
            <c:manualLayout>
              <c:xMode val="edge"/>
              <c:yMode val="edge"/>
              <c:x val="0.51403700760281301"/>
              <c:y val="0.8409485939454478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crossAx val="129655936"/>
        <c:crosses val="autoZero"/>
        <c:auto val="1"/>
        <c:lblAlgn val="ctr"/>
        <c:lblOffset val="100"/>
        <c:noMultiLvlLbl val="0"/>
      </c:catAx>
      <c:valAx>
        <c:axId val="12965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a:t>
                </a:r>
                <a:endParaRPr lang="en-GB"/>
              </a:p>
            </c:rich>
          </c:tx>
          <c:layout>
            <c:manualLayout>
              <c:xMode val="edge"/>
              <c:yMode val="edge"/>
              <c:x val="1.5978695073235686E-2"/>
              <c:y val="6.083521580028568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crossAx val="129653760"/>
        <c:crosses val="autoZero"/>
        <c:crossBetween val="between"/>
        <c:majorUnit val="9"/>
      </c:valAx>
      <c:spPr>
        <a:noFill/>
        <a:ln>
          <a:noFill/>
        </a:ln>
        <a:effectLst/>
      </c:spPr>
    </c:plotArea>
    <c:legend>
      <c:legendPos val="b"/>
      <c:layout>
        <c:manualLayout>
          <c:xMode val="edge"/>
          <c:yMode val="edge"/>
          <c:x val="0.34865606234701912"/>
          <c:y val="0.93129724007978365"/>
          <c:w val="0.42823468921066821"/>
          <c:h val="6.870275992021639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N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unemployment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19.38</c:v>
                </c:pt>
                <c:pt idx="1">
                  <c:v>21.09</c:v>
                </c:pt>
                <c:pt idx="2">
                  <c:v>11.05</c:v>
                </c:pt>
                <c:pt idx="3">
                  <c:v>10.51</c:v>
                </c:pt>
                <c:pt idx="4">
                  <c:v>20.239999999999998</c:v>
                </c:pt>
                <c:pt idx="5">
                  <c:v>10.76</c:v>
                </c:pt>
              </c:numCache>
            </c:numRef>
          </c:val>
          <c:extLst>
            <c:ext xmlns:c16="http://schemas.microsoft.com/office/drawing/2014/chart" uri="{C3380CC4-5D6E-409C-BE32-E72D297353CC}">
              <c16:uniqueId val="{00000000-8303-453A-931E-B73A1BA6CCFB}"/>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17.28</c:v>
                </c:pt>
                <c:pt idx="1">
                  <c:v>16.649999999999999</c:v>
                </c:pt>
                <c:pt idx="2">
                  <c:v>11.93</c:v>
                </c:pt>
                <c:pt idx="3">
                  <c:v>11.35</c:v>
                </c:pt>
                <c:pt idx="4">
                  <c:v>16.97</c:v>
                </c:pt>
                <c:pt idx="5">
                  <c:v>11.61</c:v>
                </c:pt>
              </c:numCache>
            </c:numRef>
          </c:val>
          <c:extLst>
            <c:ext xmlns:c16="http://schemas.microsoft.com/office/drawing/2014/chart" uri="{C3380CC4-5D6E-409C-BE32-E72D297353CC}">
              <c16:uniqueId val="{00000001-8303-453A-931E-B73A1BA6CCFB}"/>
            </c:ext>
          </c:extLst>
        </c:ser>
        <c:dLbls>
          <c:showLegendKey val="0"/>
          <c:showVal val="0"/>
          <c:showCatName val="0"/>
          <c:showSerName val="0"/>
          <c:showPercent val="0"/>
          <c:showBubbleSize val="0"/>
        </c:dLbls>
        <c:gapWidth val="150"/>
        <c:axId val="129707392"/>
        <c:axId val="129721472"/>
      </c:barChart>
      <c:catAx>
        <c:axId val="129707392"/>
        <c:scaling>
          <c:orientation val="minMax"/>
        </c:scaling>
        <c:delete val="0"/>
        <c:axPos val="b"/>
        <c:numFmt formatCode="General" sourceLinked="1"/>
        <c:majorTickMark val="none"/>
        <c:minorTickMark val="none"/>
        <c:tickLblPos val="nextTo"/>
        <c:crossAx val="129721472"/>
        <c:crosses val="autoZero"/>
        <c:auto val="1"/>
        <c:lblAlgn val="ctr"/>
        <c:lblOffset val="100"/>
        <c:noMultiLvlLbl val="0"/>
      </c:catAx>
      <c:valAx>
        <c:axId val="12972147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970739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Unemployment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29.652888000000001</c:v>
                </c:pt>
                <c:pt idx="1">
                  <c:v>21.692636</c:v>
                </c:pt>
                <c:pt idx="2">
                  <c:v>17.754849</c:v>
                </c:pt>
                <c:pt idx="3">
                  <c:v>18.834569000000002</c:v>
                </c:pt>
                <c:pt idx="4">
                  <c:v>22.330279999999998</c:v>
                </c:pt>
              </c:numCache>
            </c:numRef>
          </c:val>
          <c:smooth val="0"/>
          <c:extLst>
            <c:ext xmlns:c16="http://schemas.microsoft.com/office/drawing/2014/chart" uri="{C3380CC4-5D6E-409C-BE32-E72D297353CC}">
              <c16:uniqueId val="{00000000-C604-499A-B8AE-D02D2C9D3724}"/>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23.285374999999998</c:v>
                </c:pt>
                <c:pt idx="1">
                  <c:v>12.416703</c:v>
                </c:pt>
                <c:pt idx="2">
                  <c:v>8.7998320000000003</c:v>
                </c:pt>
                <c:pt idx="3">
                  <c:v>8.2333180000000006</c:v>
                </c:pt>
                <c:pt idx="4">
                  <c:v>10.327094000000001</c:v>
                </c:pt>
              </c:numCache>
            </c:numRef>
          </c:val>
          <c:smooth val="0"/>
          <c:extLst>
            <c:ext xmlns:c16="http://schemas.microsoft.com/office/drawing/2014/chart" uri="{C3380CC4-5D6E-409C-BE32-E72D297353CC}">
              <c16:uniqueId val="{00000001-C604-499A-B8AE-D02D2C9D3724}"/>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42.078052999999997</c:v>
                </c:pt>
                <c:pt idx="1">
                  <c:v>16.909627</c:v>
                </c:pt>
                <c:pt idx="2">
                  <c:v>13.003348000000001</c:v>
                </c:pt>
                <c:pt idx="3">
                  <c:v>15.677906999999999</c:v>
                </c:pt>
                <c:pt idx="4">
                  <c:v>20.013142000000002</c:v>
                </c:pt>
              </c:numCache>
            </c:numRef>
          </c:val>
          <c:smooth val="0"/>
          <c:extLst>
            <c:ext xmlns:c16="http://schemas.microsoft.com/office/drawing/2014/chart" uri="{C3380CC4-5D6E-409C-BE32-E72D297353CC}">
              <c16:uniqueId val="{00000002-C604-499A-B8AE-D02D2C9D3724}"/>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33.005015999999998</c:v>
                </c:pt>
                <c:pt idx="1">
                  <c:v>11.941995</c:v>
                </c:pt>
                <c:pt idx="2">
                  <c:v>8.2435779999999994</c:v>
                </c:pt>
                <c:pt idx="3">
                  <c:v>9.3095099999999995</c:v>
                </c:pt>
                <c:pt idx="4">
                  <c:v>10.049935999999999</c:v>
                </c:pt>
              </c:numCache>
            </c:numRef>
          </c:val>
          <c:smooth val="0"/>
          <c:extLst>
            <c:ext xmlns:c16="http://schemas.microsoft.com/office/drawing/2014/chart" uri="{C3380CC4-5D6E-409C-BE32-E72D297353CC}">
              <c16:uniqueId val="{00000003-C604-499A-B8AE-D02D2C9D3724}"/>
            </c:ext>
          </c:extLst>
        </c:ser>
        <c:dLbls>
          <c:showLegendKey val="0"/>
          <c:showVal val="0"/>
          <c:showCatName val="0"/>
          <c:showSerName val="0"/>
          <c:showPercent val="0"/>
          <c:showBubbleSize val="0"/>
        </c:dLbls>
        <c:marker val="1"/>
        <c:smooth val="0"/>
        <c:axId val="129755776"/>
        <c:axId val="129761664"/>
      </c:lineChart>
      <c:catAx>
        <c:axId val="129755776"/>
        <c:scaling>
          <c:orientation val="minMax"/>
        </c:scaling>
        <c:delete val="0"/>
        <c:axPos val="b"/>
        <c:numFmt formatCode="General" sourceLinked="1"/>
        <c:majorTickMark val="none"/>
        <c:minorTickMark val="none"/>
        <c:tickLblPos val="nextTo"/>
        <c:crossAx val="129761664"/>
        <c:crosses val="autoZero"/>
        <c:auto val="1"/>
        <c:lblAlgn val="ctr"/>
        <c:lblOffset val="100"/>
        <c:noMultiLvlLbl val="0"/>
      </c:catAx>
      <c:valAx>
        <c:axId val="12976166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975577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unemployment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0.0</c:formatCode>
                <c:ptCount val="8"/>
                <c:pt idx="0">
                  <c:v>10.8</c:v>
                </c:pt>
                <c:pt idx="1">
                  <c:v>9.6999999999999993</c:v>
                </c:pt>
                <c:pt idx="2">
                  <c:v>15.4</c:v>
                </c:pt>
                <c:pt idx="3">
                  <c:v>17.399999999999999</c:v>
                </c:pt>
                <c:pt idx="4">
                  <c:v>18.2</c:v>
                </c:pt>
                <c:pt idx="5">
                  <c:v>20.6</c:v>
                </c:pt>
                <c:pt idx="6">
                  <c:v>18.2</c:v>
                </c:pt>
                <c:pt idx="7">
                  <c:v>17.28</c:v>
                </c:pt>
              </c:numCache>
            </c:numRef>
          </c:val>
          <c:smooth val="0"/>
          <c:extLst>
            <c:ext xmlns:c16="http://schemas.microsoft.com/office/drawing/2014/chart" uri="{C3380CC4-5D6E-409C-BE32-E72D297353CC}">
              <c16:uniqueId val="{00000000-E56F-4BE3-9276-DE3C5AA1D058}"/>
            </c:ext>
          </c:extLst>
        </c:ser>
        <c:ser>
          <c:idx val="1"/>
          <c:order val="1"/>
          <c:tx>
            <c:strRef>
              <c:f>Sheet1!$C$1</c:f>
              <c:strCache>
                <c:ptCount val="1"/>
                <c:pt idx="0">
                  <c:v>Disabled men</c:v>
                </c:pt>
              </c:strCache>
            </c:strRef>
          </c:tx>
          <c:trendline>
            <c:trendlineType val="poly"/>
            <c:order val="2"/>
            <c:dispRSqr val="0"/>
            <c:dispEq val="0"/>
          </c:trendline>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0.0</c:formatCode>
                <c:ptCount val="8"/>
                <c:pt idx="0">
                  <c:v>8.1</c:v>
                </c:pt>
                <c:pt idx="1">
                  <c:v>13.1</c:v>
                </c:pt>
                <c:pt idx="2">
                  <c:v>19.2</c:v>
                </c:pt>
                <c:pt idx="3">
                  <c:v>17.100000000000001</c:v>
                </c:pt>
                <c:pt idx="4">
                  <c:v>17.899999999999999</c:v>
                </c:pt>
                <c:pt idx="5">
                  <c:v>16.100000000000001</c:v>
                </c:pt>
                <c:pt idx="6">
                  <c:v>18.3</c:v>
                </c:pt>
                <c:pt idx="7">
                  <c:v>16.649999999999999</c:v>
                </c:pt>
              </c:numCache>
            </c:numRef>
          </c:val>
          <c:smooth val="0"/>
          <c:extLst>
            <c:ext xmlns:c16="http://schemas.microsoft.com/office/drawing/2014/chart" uri="{C3380CC4-5D6E-409C-BE32-E72D297353CC}">
              <c16:uniqueId val="{00000002-E56F-4BE3-9276-DE3C5AA1D058}"/>
            </c:ext>
          </c:extLst>
        </c:ser>
        <c:ser>
          <c:idx val="2"/>
          <c:order val="2"/>
          <c:tx>
            <c:strRef>
              <c:f>Sheet1!$D$1</c:f>
              <c:strCache>
                <c:ptCount val="1"/>
                <c:pt idx="0">
                  <c:v>Non-disabled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0.0</c:formatCode>
                <c:ptCount val="8"/>
                <c:pt idx="0">
                  <c:v>8.1999999999999993</c:v>
                </c:pt>
                <c:pt idx="1">
                  <c:v>9.6</c:v>
                </c:pt>
                <c:pt idx="2">
                  <c:v>13.4</c:v>
                </c:pt>
                <c:pt idx="3">
                  <c:v>12.8</c:v>
                </c:pt>
                <c:pt idx="4">
                  <c:v>12.8</c:v>
                </c:pt>
                <c:pt idx="5">
                  <c:v>14.3</c:v>
                </c:pt>
                <c:pt idx="6">
                  <c:v>13.1</c:v>
                </c:pt>
                <c:pt idx="7">
                  <c:v>11.93</c:v>
                </c:pt>
              </c:numCache>
            </c:numRef>
          </c:val>
          <c:smooth val="0"/>
          <c:extLst>
            <c:ext xmlns:c16="http://schemas.microsoft.com/office/drawing/2014/chart" uri="{C3380CC4-5D6E-409C-BE32-E72D297353CC}">
              <c16:uniqueId val="{00000003-E56F-4BE3-9276-DE3C5AA1D058}"/>
            </c:ext>
          </c:extLst>
        </c:ser>
        <c:ser>
          <c:idx val="3"/>
          <c:order val="3"/>
          <c:tx>
            <c:strRef>
              <c:f>Sheet1!$E$1</c:f>
              <c:strCache>
                <c:ptCount val="1"/>
                <c:pt idx="0">
                  <c:v>Non-disabled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0.0</c:formatCode>
                <c:ptCount val="8"/>
                <c:pt idx="0">
                  <c:v>5.2</c:v>
                </c:pt>
                <c:pt idx="1">
                  <c:v>8.4</c:v>
                </c:pt>
                <c:pt idx="2">
                  <c:v>12.4</c:v>
                </c:pt>
                <c:pt idx="3">
                  <c:v>12.8</c:v>
                </c:pt>
                <c:pt idx="4">
                  <c:v>12.4</c:v>
                </c:pt>
                <c:pt idx="5">
                  <c:v>13.2</c:v>
                </c:pt>
                <c:pt idx="6">
                  <c:v>12.4</c:v>
                </c:pt>
                <c:pt idx="7">
                  <c:v>11.35</c:v>
                </c:pt>
              </c:numCache>
            </c:numRef>
          </c:val>
          <c:smooth val="0"/>
          <c:extLst>
            <c:ext xmlns:c16="http://schemas.microsoft.com/office/drawing/2014/chart" uri="{C3380CC4-5D6E-409C-BE32-E72D297353CC}">
              <c16:uniqueId val="{00000004-E56F-4BE3-9276-DE3C5AA1D058}"/>
            </c:ext>
          </c:extLst>
        </c:ser>
        <c:ser>
          <c:idx val="4"/>
          <c:order val="4"/>
          <c:tx>
            <c:strRef>
              <c:f>Sheet1!$F$1</c:f>
              <c:strCache>
                <c:ptCount val="1"/>
                <c:pt idx="0">
                  <c:v>EU average (all)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0.0</c:formatCode>
                <c:ptCount val="8"/>
                <c:pt idx="0">
                  <c:v>8.4</c:v>
                </c:pt>
                <c:pt idx="1">
                  <c:v>10.199999999999999</c:v>
                </c:pt>
                <c:pt idx="2">
                  <c:v>10.9</c:v>
                </c:pt>
                <c:pt idx="3">
                  <c:v>11.3</c:v>
                </c:pt>
                <c:pt idx="4">
                  <c:v>12.2</c:v>
                </c:pt>
                <c:pt idx="5">
                  <c:v>12.9</c:v>
                </c:pt>
                <c:pt idx="6">
                  <c:v>12.6</c:v>
                </c:pt>
                <c:pt idx="7">
                  <c:v>12.1</c:v>
                </c:pt>
              </c:numCache>
            </c:numRef>
          </c:val>
          <c:smooth val="0"/>
          <c:extLst>
            <c:ext xmlns:c16="http://schemas.microsoft.com/office/drawing/2014/chart" uri="{C3380CC4-5D6E-409C-BE32-E72D297353CC}">
              <c16:uniqueId val="{00000005-E56F-4BE3-9276-DE3C5AA1D058}"/>
            </c:ext>
          </c:extLst>
        </c:ser>
        <c:dLbls>
          <c:showLegendKey val="0"/>
          <c:showVal val="0"/>
          <c:showCatName val="0"/>
          <c:showSerName val="0"/>
          <c:showPercent val="0"/>
          <c:showBubbleSize val="0"/>
        </c:dLbls>
        <c:marker val="1"/>
        <c:smooth val="0"/>
        <c:axId val="130112896"/>
        <c:axId val="130118784"/>
      </c:lineChart>
      <c:catAx>
        <c:axId val="130112896"/>
        <c:scaling>
          <c:orientation val="minMax"/>
        </c:scaling>
        <c:delete val="0"/>
        <c:axPos val="b"/>
        <c:numFmt formatCode="General" sourceLinked="1"/>
        <c:majorTickMark val="none"/>
        <c:minorTickMark val="none"/>
        <c:tickLblPos val="nextTo"/>
        <c:crossAx val="130118784"/>
        <c:crosses val="autoZero"/>
        <c:auto val="1"/>
        <c:lblAlgn val="ctr"/>
        <c:lblOffset val="100"/>
        <c:noMultiLvlLbl val="0"/>
      </c:catAx>
      <c:valAx>
        <c:axId val="1301187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01128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nezamestnaní!$C$28</c:f>
              <c:strCache>
                <c:ptCount val="1"/>
                <c:pt idx="0">
                  <c:v>unemployed</c:v>
                </c:pt>
              </c:strCache>
            </c:strRef>
          </c:tx>
          <c:spPr>
            <a:solidFill>
              <a:schemeClr val="accent1"/>
            </a:solidFill>
            <a:ln>
              <a:noFill/>
            </a:ln>
            <a:effectLst/>
          </c:spPr>
          <c:invertIfNegative val="0"/>
          <c:cat>
            <c:strRef>
              <c:f>(nezamestnaní!$B$29,nezamestnaní!$B$34,nezamestnaní!$B$39,nezamestnaní!$B$44)</c:f>
              <c:strCache>
                <c:ptCount val="4"/>
                <c:pt idx="0">
                  <c:v>15 - 29 years</c:v>
                </c:pt>
                <c:pt idx="1">
                  <c:v>30 - 39 years</c:v>
                </c:pt>
                <c:pt idx="2">
                  <c:v>40 - 49 years</c:v>
                </c:pt>
                <c:pt idx="3">
                  <c:v>50 +</c:v>
                </c:pt>
              </c:strCache>
            </c:strRef>
          </c:cat>
          <c:val>
            <c:numRef>
              <c:f>(nezamestnaní!$C$29,nezamestnaní!$C$34,nezamestnaní!$C$39,nezamestnaní!$C$44)</c:f>
              <c:numCache>
                <c:formatCode>General</c:formatCode>
                <c:ptCount val="4"/>
                <c:pt idx="0">
                  <c:v>29.4</c:v>
                </c:pt>
                <c:pt idx="1">
                  <c:v>24.5</c:v>
                </c:pt>
                <c:pt idx="2">
                  <c:v>22</c:v>
                </c:pt>
                <c:pt idx="3">
                  <c:v>24.2</c:v>
                </c:pt>
              </c:numCache>
            </c:numRef>
          </c:val>
          <c:extLst>
            <c:ext xmlns:c16="http://schemas.microsoft.com/office/drawing/2014/chart" uri="{C3380CC4-5D6E-409C-BE32-E72D297353CC}">
              <c16:uniqueId val="{00000000-8FEC-4BDF-86F4-3DABDF28265A}"/>
            </c:ext>
          </c:extLst>
        </c:ser>
        <c:ser>
          <c:idx val="1"/>
          <c:order val="1"/>
          <c:tx>
            <c:strRef>
              <c:f>nezamestnaní!$D$28</c:f>
              <c:strCache>
                <c:ptCount val="1"/>
                <c:pt idx="0">
                  <c:v>unemployed w/ disabilities</c:v>
                </c:pt>
              </c:strCache>
            </c:strRef>
          </c:tx>
          <c:spPr>
            <a:solidFill>
              <a:schemeClr val="accent2"/>
            </a:solidFill>
            <a:ln>
              <a:noFill/>
            </a:ln>
            <a:effectLst/>
          </c:spPr>
          <c:invertIfNegative val="0"/>
          <c:cat>
            <c:strRef>
              <c:f>(nezamestnaní!$B$29,nezamestnaní!$B$34,nezamestnaní!$B$39,nezamestnaní!$B$44)</c:f>
              <c:strCache>
                <c:ptCount val="4"/>
                <c:pt idx="0">
                  <c:v>15 - 29 years</c:v>
                </c:pt>
                <c:pt idx="1">
                  <c:v>30 - 39 years</c:v>
                </c:pt>
                <c:pt idx="2">
                  <c:v>40 - 49 years</c:v>
                </c:pt>
                <c:pt idx="3">
                  <c:v>50 +</c:v>
                </c:pt>
              </c:strCache>
            </c:strRef>
          </c:cat>
          <c:val>
            <c:numRef>
              <c:f>(nezamestnaní!$D$29,nezamestnaní!$D$34,nezamestnaní!$D$39,nezamestnaní!$D$44)</c:f>
              <c:numCache>
                <c:formatCode>General</c:formatCode>
                <c:ptCount val="4"/>
                <c:pt idx="0">
                  <c:v>19</c:v>
                </c:pt>
                <c:pt idx="1">
                  <c:v>13.1</c:v>
                </c:pt>
                <c:pt idx="2">
                  <c:v>25.3</c:v>
                </c:pt>
                <c:pt idx="3">
                  <c:v>42.6</c:v>
                </c:pt>
              </c:numCache>
            </c:numRef>
          </c:val>
          <c:extLst>
            <c:ext xmlns:c16="http://schemas.microsoft.com/office/drawing/2014/chart" uri="{C3380CC4-5D6E-409C-BE32-E72D297353CC}">
              <c16:uniqueId val="{00000001-8FEC-4BDF-86F4-3DABDF28265A}"/>
            </c:ext>
          </c:extLst>
        </c:ser>
        <c:dLbls>
          <c:showLegendKey val="0"/>
          <c:showVal val="0"/>
          <c:showCatName val="0"/>
          <c:showSerName val="0"/>
          <c:showPercent val="0"/>
          <c:showBubbleSize val="0"/>
        </c:dLbls>
        <c:gapWidth val="219"/>
        <c:overlap val="-27"/>
        <c:axId val="129438848"/>
        <c:axId val="129440768"/>
      </c:barChart>
      <c:catAx>
        <c:axId val="129438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crossAx val="129440768"/>
        <c:crosses val="autoZero"/>
        <c:auto val="1"/>
        <c:lblAlgn val="ctr"/>
        <c:lblOffset val="100"/>
        <c:noMultiLvlLbl val="0"/>
      </c:catAx>
      <c:valAx>
        <c:axId val="12944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t>%</a:t>
                </a:r>
              </a:p>
            </c:rich>
          </c:tx>
          <c:layout>
            <c:manualLayout>
              <c:xMode val="edge"/>
              <c:yMode val="edge"/>
              <c:x val="1.4772916216214439E-2"/>
              <c:y val="3.7220288955413898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crossAx val="129438848"/>
        <c:crosses val="autoZero"/>
        <c:crossBetween val="between"/>
        <c:majorUnit val="9"/>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6C8F116-F906-4CEC-A72B-8321D65C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14018</Words>
  <Characters>79909</Characters>
  <Application>Microsoft Office Word</Application>
  <DocSecurity>0</DocSecurity>
  <Lines>665</Lines>
  <Paragraphs>187</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University of Leeds</Company>
  <LinksUpToDate>false</LinksUpToDate>
  <CharactersWithSpaces>93740</CharactersWithSpaces>
  <SharedDoc>false</SharedDoc>
  <HLinks>
    <vt:vector size="342" baseType="variant">
      <vt:variant>
        <vt:i4>1179702</vt:i4>
      </vt:variant>
      <vt:variant>
        <vt:i4>155</vt:i4>
      </vt:variant>
      <vt:variant>
        <vt:i4>0</vt:i4>
      </vt:variant>
      <vt:variant>
        <vt:i4>5</vt:i4>
      </vt:variant>
      <vt:variant>
        <vt:lpwstr/>
      </vt:variant>
      <vt:variant>
        <vt:lpwstr>_Toc464561078</vt:lpwstr>
      </vt:variant>
      <vt:variant>
        <vt:i4>1179702</vt:i4>
      </vt:variant>
      <vt:variant>
        <vt:i4>149</vt:i4>
      </vt:variant>
      <vt:variant>
        <vt:i4>0</vt:i4>
      </vt:variant>
      <vt:variant>
        <vt:i4>5</vt:i4>
      </vt:variant>
      <vt:variant>
        <vt:lpwstr/>
      </vt:variant>
      <vt:variant>
        <vt:lpwstr>_Toc464561077</vt:lpwstr>
      </vt:variant>
      <vt:variant>
        <vt:i4>1179702</vt:i4>
      </vt:variant>
      <vt:variant>
        <vt:i4>143</vt:i4>
      </vt:variant>
      <vt:variant>
        <vt:i4>0</vt:i4>
      </vt:variant>
      <vt:variant>
        <vt:i4>5</vt:i4>
      </vt:variant>
      <vt:variant>
        <vt:lpwstr/>
      </vt:variant>
      <vt:variant>
        <vt:lpwstr>_Toc464561076</vt:lpwstr>
      </vt:variant>
      <vt:variant>
        <vt:i4>1179702</vt:i4>
      </vt:variant>
      <vt:variant>
        <vt:i4>137</vt:i4>
      </vt:variant>
      <vt:variant>
        <vt:i4>0</vt:i4>
      </vt:variant>
      <vt:variant>
        <vt:i4>5</vt:i4>
      </vt:variant>
      <vt:variant>
        <vt:lpwstr/>
      </vt:variant>
      <vt:variant>
        <vt:lpwstr>_Toc464561075</vt:lpwstr>
      </vt:variant>
      <vt:variant>
        <vt:i4>1179702</vt:i4>
      </vt:variant>
      <vt:variant>
        <vt:i4>131</vt:i4>
      </vt:variant>
      <vt:variant>
        <vt:i4>0</vt:i4>
      </vt:variant>
      <vt:variant>
        <vt:i4>5</vt:i4>
      </vt:variant>
      <vt:variant>
        <vt:lpwstr/>
      </vt:variant>
      <vt:variant>
        <vt:lpwstr>_Toc464561074</vt:lpwstr>
      </vt:variant>
      <vt:variant>
        <vt:i4>1179702</vt:i4>
      </vt:variant>
      <vt:variant>
        <vt:i4>125</vt:i4>
      </vt:variant>
      <vt:variant>
        <vt:i4>0</vt:i4>
      </vt:variant>
      <vt:variant>
        <vt:i4>5</vt:i4>
      </vt:variant>
      <vt:variant>
        <vt:lpwstr/>
      </vt:variant>
      <vt:variant>
        <vt:lpwstr>_Toc464561073</vt:lpwstr>
      </vt:variant>
      <vt:variant>
        <vt:i4>1179702</vt:i4>
      </vt:variant>
      <vt:variant>
        <vt:i4>119</vt:i4>
      </vt:variant>
      <vt:variant>
        <vt:i4>0</vt:i4>
      </vt:variant>
      <vt:variant>
        <vt:i4>5</vt:i4>
      </vt:variant>
      <vt:variant>
        <vt:lpwstr/>
      </vt:variant>
      <vt:variant>
        <vt:lpwstr>_Toc464561072</vt:lpwstr>
      </vt:variant>
      <vt:variant>
        <vt:i4>1179702</vt:i4>
      </vt:variant>
      <vt:variant>
        <vt:i4>113</vt:i4>
      </vt:variant>
      <vt:variant>
        <vt:i4>0</vt:i4>
      </vt:variant>
      <vt:variant>
        <vt:i4>5</vt:i4>
      </vt:variant>
      <vt:variant>
        <vt:lpwstr/>
      </vt:variant>
      <vt:variant>
        <vt:lpwstr>_Toc464561071</vt:lpwstr>
      </vt:variant>
      <vt:variant>
        <vt:i4>1179702</vt:i4>
      </vt:variant>
      <vt:variant>
        <vt:i4>107</vt:i4>
      </vt:variant>
      <vt:variant>
        <vt:i4>0</vt:i4>
      </vt:variant>
      <vt:variant>
        <vt:i4>5</vt:i4>
      </vt:variant>
      <vt:variant>
        <vt:lpwstr/>
      </vt:variant>
      <vt:variant>
        <vt:lpwstr>_Toc464561070</vt:lpwstr>
      </vt:variant>
      <vt:variant>
        <vt:i4>1245238</vt:i4>
      </vt:variant>
      <vt:variant>
        <vt:i4>101</vt:i4>
      </vt:variant>
      <vt:variant>
        <vt:i4>0</vt:i4>
      </vt:variant>
      <vt:variant>
        <vt:i4>5</vt:i4>
      </vt:variant>
      <vt:variant>
        <vt:lpwstr/>
      </vt:variant>
      <vt:variant>
        <vt:lpwstr>_Toc464561069</vt:lpwstr>
      </vt:variant>
      <vt:variant>
        <vt:i4>1245238</vt:i4>
      </vt:variant>
      <vt:variant>
        <vt:i4>95</vt:i4>
      </vt:variant>
      <vt:variant>
        <vt:i4>0</vt:i4>
      </vt:variant>
      <vt:variant>
        <vt:i4>5</vt:i4>
      </vt:variant>
      <vt:variant>
        <vt:lpwstr/>
      </vt:variant>
      <vt:variant>
        <vt:lpwstr>_Toc464561068</vt:lpwstr>
      </vt:variant>
      <vt:variant>
        <vt:i4>1245238</vt:i4>
      </vt:variant>
      <vt:variant>
        <vt:i4>89</vt:i4>
      </vt:variant>
      <vt:variant>
        <vt:i4>0</vt:i4>
      </vt:variant>
      <vt:variant>
        <vt:i4>5</vt:i4>
      </vt:variant>
      <vt:variant>
        <vt:lpwstr/>
      </vt:variant>
      <vt:variant>
        <vt:lpwstr>_Toc464561067</vt:lpwstr>
      </vt:variant>
      <vt:variant>
        <vt:i4>1245238</vt:i4>
      </vt:variant>
      <vt:variant>
        <vt:i4>83</vt:i4>
      </vt:variant>
      <vt:variant>
        <vt:i4>0</vt:i4>
      </vt:variant>
      <vt:variant>
        <vt:i4>5</vt:i4>
      </vt:variant>
      <vt:variant>
        <vt:lpwstr/>
      </vt:variant>
      <vt:variant>
        <vt:lpwstr>_Toc464561066</vt:lpwstr>
      </vt:variant>
      <vt:variant>
        <vt:i4>1245238</vt:i4>
      </vt:variant>
      <vt:variant>
        <vt:i4>77</vt:i4>
      </vt:variant>
      <vt:variant>
        <vt:i4>0</vt:i4>
      </vt:variant>
      <vt:variant>
        <vt:i4>5</vt:i4>
      </vt:variant>
      <vt:variant>
        <vt:lpwstr/>
      </vt:variant>
      <vt:variant>
        <vt:lpwstr>_Toc464561065</vt:lpwstr>
      </vt:variant>
      <vt:variant>
        <vt:i4>1245238</vt:i4>
      </vt:variant>
      <vt:variant>
        <vt:i4>71</vt:i4>
      </vt:variant>
      <vt:variant>
        <vt:i4>0</vt:i4>
      </vt:variant>
      <vt:variant>
        <vt:i4>5</vt:i4>
      </vt:variant>
      <vt:variant>
        <vt:lpwstr/>
      </vt:variant>
      <vt:variant>
        <vt:lpwstr>_Toc464561064</vt:lpwstr>
      </vt:variant>
      <vt:variant>
        <vt:i4>1245238</vt:i4>
      </vt:variant>
      <vt:variant>
        <vt:i4>65</vt:i4>
      </vt:variant>
      <vt:variant>
        <vt:i4>0</vt:i4>
      </vt:variant>
      <vt:variant>
        <vt:i4>5</vt:i4>
      </vt:variant>
      <vt:variant>
        <vt:lpwstr/>
      </vt:variant>
      <vt:variant>
        <vt:lpwstr>_Toc464561063</vt:lpwstr>
      </vt:variant>
      <vt:variant>
        <vt:i4>1245238</vt:i4>
      </vt:variant>
      <vt:variant>
        <vt:i4>59</vt:i4>
      </vt:variant>
      <vt:variant>
        <vt:i4>0</vt:i4>
      </vt:variant>
      <vt:variant>
        <vt:i4>5</vt:i4>
      </vt:variant>
      <vt:variant>
        <vt:lpwstr/>
      </vt:variant>
      <vt:variant>
        <vt:lpwstr>_Toc464561062</vt:lpwstr>
      </vt:variant>
      <vt:variant>
        <vt:i4>1245238</vt:i4>
      </vt:variant>
      <vt:variant>
        <vt:i4>53</vt:i4>
      </vt:variant>
      <vt:variant>
        <vt:i4>0</vt:i4>
      </vt:variant>
      <vt:variant>
        <vt:i4>5</vt:i4>
      </vt:variant>
      <vt:variant>
        <vt:lpwstr/>
      </vt:variant>
      <vt:variant>
        <vt:lpwstr>_Toc464561061</vt:lpwstr>
      </vt:variant>
      <vt:variant>
        <vt:i4>1245238</vt:i4>
      </vt:variant>
      <vt:variant>
        <vt:i4>47</vt:i4>
      </vt:variant>
      <vt:variant>
        <vt:i4>0</vt:i4>
      </vt:variant>
      <vt:variant>
        <vt:i4>5</vt:i4>
      </vt:variant>
      <vt:variant>
        <vt:lpwstr/>
      </vt:variant>
      <vt:variant>
        <vt:lpwstr>_Toc464561060</vt:lpwstr>
      </vt:variant>
      <vt:variant>
        <vt:i4>1048630</vt:i4>
      </vt:variant>
      <vt:variant>
        <vt:i4>41</vt:i4>
      </vt:variant>
      <vt:variant>
        <vt:i4>0</vt:i4>
      </vt:variant>
      <vt:variant>
        <vt:i4>5</vt:i4>
      </vt:variant>
      <vt:variant>
        <vt:lpwstr/>
      </vt:variant>
      <vt:variant>
        <vt:lpwstr>_Toc464561059</vt:lpwstr>
      </vt:variant>
      <vt:variant>
        <vt:i4>1048630</vt:i4>
      </vt:variant>
      <vt:variant>
        <vt:i4>35</vt:i4>
      </vt:variant>
      <vt:variant>
        <vt:i4>0</vt:i4>
      </vt:variant>
      <vt:variant>
        <vt:i4>5</vt:i4>
      </vt:variant>
      <vt:variant>
        <vt:lpwstr/>
      </vt:variant>
      <vt:variant>
        <vt:lpwstr>_Toc464561058</vt:lpwstr>
      </vt:variant>
      <vt:variant>
        <vt:i4>1048630</vt:i4>
      </vt:variant>
      <vt:variant>
        <vt:i4>29</vt:i4>
      </vt:variant>
      <vt:variant>
        <vt:i4>0</vt:i4>
      </vt:variant>
      <vt:variant>
        <vt:i4>5</vt:i4>
      </vt:variant>
      <vt:variant>
        <vt:lpwstr/>
      </vt:variant>
      <vt:variant>
        <vt:lpwstr>_Toc464561057</vt:lpwstr>
      </vt:variant>
      <vt:variant>
        <vt:i4>1048630</vt:i4>
      </vt:variant>
      <vt:variant>
        <vt:i4>23</vt:i4>
      </vt:variant>
      <vt:variant>
        <vt:i4>0</vt:i4>
      </vt:variant>
      <vt:variant>
        <vt:i4>5</vt:i4>
      </vt:variant>
      <vt:variant>
        <vt:lpwstr/>
      </vt:variant>
      <vt:variant>
        <vt:lpwstr>_Toc464561056</vt:lpwstr>
      </vt:variant>
      <vt:variant>
        <vt:i4>1048630</vt:i4>
      </vt:variant>
      <vt:variant>
        <vt:i4>17</vt:i4>
      </vt:variant>
      <vt:variant>
        <vt:i4>0</vt:i4>
      </vt:variant>
      <vt:variant>
        <vt:i4>5</vt:i4>
      </vt:variant>
      <vt:variant>
        <vt:lpwstr/>
      </vt:variant>
      <vt:variant>
        <vt:lpwstr>_Toc464561055</vt:lpwstr>
      </vt:variant>
      <vt:variant>
        <vt:i4>1048630</vt:i4>
      </vt:variant>
      <vt:variant>
        <vt:i4>11</vt:i4>
      </vt:variant>
      <vt:variant>
        <vt:i4>0</vt:i4>
      </vt:variant>
      <vt:variant>
        <vt:i4>5</vt:i4>
      </vt:variant>
      <vt:variant>
        <vt:lpwstr/>
      </vt:variant>
      <vt:variant>
        <vt:lpwstr>_Toc464561054</vt:lpwstr>
      </vt:variant>
      <vt:variant>
        <vt:i4>1048630</vt:i4>
      </vt:variant>
      <vt:variant>
        <vt:i4>5</vt:i4>
      </vt:variant>
      <vt:variant>
        <vt:i4>0</vt:i4>
      </vt:variant>
      <vt:variant>
        <vt:i4>5</vt:i4>
      </vt:variant>
      <vt:variant>
        <vt:lpwstr/>
      </vt:variant>
      <vt:variant>
        <vt:lpwstr>_Toc464561053</vt:lpwstr>
      </vt:variant>
      <vt:variant>
        <vt:i4>917588</vt:i4>
      </vt:variant>
      <vt:variant>
        <vt:i4>0</vt:i4>
      </vt:variant>
      <vt:variant>
        <vt:i4>0</vt:i4>
      </vt:variant>
      <vt:variant>
        <vt:i4>5</vt:i4>
      </vt:variant>
      <vt:variant>
        <vt:lpwstr>http://disability-europe.net/</vt:lpwstr>
      </vt:variant>
      <vt:variant>
        <vt:lpwstr/>
      </vt:variant>
      <vt:variant>
        <vt:i4>2883594</vt:i4>
      </vt:variant>
      <vt:variant>
        <vt:i4>99</vt:i4>
      </vt:variant>
      <vt:variant>
        <vt:i4>0</vt:i4>
      </vt:variant>
      <vt:variant>
        <vt:i4>5</vt:i4>
      </vt:variant>
      <vt:variant>
        <vt:lpwstr>http://www.upsvar.sk/europsky-socialny-fond/narodne-projekty-v-programovom-obdobi-2007-2013/narodny-projekt-podpora-udrzania-pracovnych-miest-pre-obcanov-so-zdravotnym-postihnutim-a-zvysovanie-zamestnatelnosti-uoz.html?page_id=527055</vt:lpwstr>
      </vt:variant>
      <vt:variant>
        <vt:lpwstr/>
      </vt:variant>
      <vt:variant>
        <vt:i4>4325498</vt:i4>
      </vt:variant>
      <vt:variant>
        <vt:i4>96</vt:i4>
      </vt:variant>
      <vt:variant>
        <vt:i4>0</vt:i4>
      </vt:variant>
      <vt:variant>
        <vt:i4>5</vt:i4>
      </vt:variant>
      <vt:variant>
        <vt:lpwstr>http://www.google.sk/url?url=http://www.employment.gov.sk/files/slovensky/praca-zamestnanost/podpora-zamestnanosti/vysledky-implementacie.pdf&amp;rct=j&amp;frm=1&amp;q=&amp;esrc=s&amp;sa=U&amp;ved=0CCMQFjABahUKEwi9vpiFyYPIAhVHORQKHaSPA_s&amp;sig2=1giuRSAGXJcMVNfWgoSnhQ&amp;usg=AFQjCNHf37QNbAcbZcWkf5WbEyg30OI4WA</vt:lpwstr>
      </vt:variant>
      <vt:variant>
        <vt:lpwstr/>
      </vt:variant>
      <vt:variant>
        <vt:i4>1704009</vt:i4>
      </vt:variant>
      <vt:variant>
        <vt:i4>93</vt:i4>
      </vt:variant>
      <vt:variant>
        <vt:i4>0</vt:i4>
      </vt:variant>
      <vt:variant>
        <vt:i4>5</vt:i4>
      </vt:variant>
      <vt:variant>
        <vt:lpwstr>http://who.sk/wp-content/uploads/2015/08/Zdravotne-postihnutie-a-neprenosne-ochorenia.pdf</vt:lpwstr>
      </vt:variant>
      <vt:variant>
        <vt:lpwstr/>
      </vt:variant>
      <vt:variant>
        <vt:i4>7995513</vt:i4>
      </vt:variant>
      <vt:variant>
        <vt:i4>90</vt:i4>
      </vt:variant>
      <vt:variant>
        <vt:i4>0</vt:i4>
      </vt:variant>
      <vt:variant>
        <vt:i4>5</vt:i4>
      </vt:variant>
      <vt:variant>
        <vt:lpwstr>http://www.komisarprezdravotnepostihnutych.sk/Domov</vt:lpwstr>
      </vt:variant>
      <vt:variant>
        <vt:lpwstr/>
      </vt:variant>
      <vt:variant>
        <vt:i4>1966145</vt:i4>
      </vt:variant>
      <vt:variant>
        <vt:i4>87</vt:i4>
      </vt:variant>
      <vt:variant>
        <vt:i4>0</vt:i4>
      </vt:variant>
      <vt:variant>
        <vt:i4>5</vt:i4>
      </vt:variant>
      <vt:variant>
        <vt:lpwstr>http://www.ceit.sk/IVPR/images/IVPR/vyskum/2015/Repkova/repkova_implementacia_podmienok_kvality_2015.pdf</vt:lpwstr>
      </vt:variant>
      <vt:variant>
        <vt:lpwstr/>
      </vt:variant>
      <vt:variant>
        <vt:i4>4063348</vt:i4>
      </vt:variant>
      <vt:variant>
        <vt:i4>84</vt:i4>
      </vt:variant>
      <vt:variant>
        <vt:i4>0</vt:i4>
      </vt:variant>
      <vt:variant>
        <vt:i4>5</vt:i4>
      </vt:variant>
      <vt:variant>
        <vt:lpwstr>https://www.minedu.sk/data/att/9351.pdf</vt:lpwstr>
      </vt:variant>
      <vt:variant>
        <vt:lpwstr/>
      </vt:variant>
      <vt:variant>
        <vt:i4>720922</vt:i4>
      </vt:variant>
      <vt:variant>
        <vt:i4>81</vt:i4>
      </vt:variant>
      <vt:variant>
        <vt:i4>0</vt:i4>
      </vt:variant>
      <vt:variant>
        <vt:i4>5</vt:i4>
      </vt:variant>
      <vt:variant>
        <vt:lpwstr>http://ec.europa.eu/europe2020/pdf/csr2016/csr2016_slovakia_en.pdf</vt:lpwstr>
      </vt:variant>
      <vt:variant>
        <vt:lpwstr/>
      </vt:variant>
      <vt:variant>
        <vt:i4>5505099</vt:i4>
      </vt:variant>
      <vt:variant>
        <vt:i4>78</vt:i4>
      </vt:variant>
      <vt:variant>
        <vt:i4>0</vt:i4>
      </vt:variant>
      <vt:variant>
        <vt:i4>5</vt:i4>
      </vt:variant>
      <vt:variant>
        <vt:lpwstr>https://www.ia.gov.sk/data/files/np_di/publikacie/Podporovane_zamestnavanie_v_procese_prechodu_z_institucionalnej_na_komunitnu_starostlivost.pdf</vt:lpwstr>
      </vt:variant>
      <vt:variant>
        <vt:lpwstr/>
      </vt:variant>
      <vt:variant>
        <vt:i4>393244</vt:i4>
      </vt:variant>
      <vt:variant>
        <vt:i4>75</vt:i4>
      </vt:variant>
      <vt:variant>
        <vt:i4>0</vt:i4>
      </vt:variant>
      <vt:variant>
        <vt:i4>5</vt:i4>
      </vt:variant>
      <vt:variant>
        <vt:lpwstr>https://www.ia.gov.sk/sk/narodne-projekty/programove-obdobie-2007-2013/narodny-projekt-di</vt:lpwstr>
      </vt:variant>
      <vt:variant>
        <vt:lpwstr/>
      </vt:variant>
      <vt:variant>
        <vt:i4>2097275</vt:i4>
      </vt:variant>
      <vt:variant>
        <vt:i4>72</vt:i4>
      </vt:variant>
      <vt:variant>
        <vt:i4>0</vt:i4>
      </vt:variant>
      <vt:variant>
        <vt:i4>5</vt:i4>
      </vt:variant>
      <vt:variant>
        <vt:lpwstr>https://www.employment.gov.sk/files/slovensky/rodina-socialna-pomoc/socialne-sluzby/nprss-2015-2020.pdf</vt:lpwstr>
      </vt:variant>
      <vt:variant>
        <vt:lpwstr/>
      </vt:variant>
      <vt:variant>
        <vt:i4>4391003</vt:i4>
      </vt:variant>
      <vt:variant>
        <vt:i4>69</vt:i4>
      </vt:variant>
      <vt:variant>
        <vt:i4>0</vt:i4>
      </vt:variant>
      <vt:variant>
        <vt:i4>5</vt:i4>
      </vt:variant>
      <vt:variant>
        <vt:lpwstr>http://www.teraz.sk/ekonomika/r-fico-treti-socialny-balik-bude-st/169667-clanok.html</vt:lpwstr>
      </vt:variant>
      <vt:variant>
        <vt:lpwstr/>
      </vt:variant>
      <vt:variant>
        <vt:i4>2949132</vt:i4>
      </vt:variant>
      <vt:variant>
        <vt:i4>66</vt:i4>
      </vt:variant>
      <vt:variant>
        <vt:i4>0</vt:i4>
      </vt:variant>
      <vt:variant>
        <vt:i4>5</vt:i4>
      </vt:variant>
      <vt:variant>
        <vt:lpwstr>http://www.upsvar.sk/statistiky/aktivne-opatrenia-tp-statistiky.html?page_id=1248</vt:lpwstr>
      </vt:variant>
      <vt:variant>
        <vt:lpwstr/>
      </vt:variant>
      <vt:variant>
        <vt:i4>2359413</vt:i4>
      </vt:variant>
      <vt:variant>
        <vt:i4>63</vt:i4>
      </vt:variant>
      <vt:variant>
        <vt:i4>0</vt:i4>
      </vt:variant>
      <vt:variant>
        <vt:i4>5</vt:i4>
      </vt:variant>
      <vt:variant>
        <vt:lpwstr>http://www.rokovania.sk/Rokovanie.aspx/BodRokovaniaDetail?idMaterial=23180</vt:lpwstr>
      </vt:variant>
      <vt:variant>
        <vt:lpwstr/>
      </vt:variant>
      <vt:variant>
        <vt:i4>1572929</vt:i4>
      </vt:variant>
      <vt:variant>
        <vt:i4>60</vt:i4>
      </vt:variant>
      <vt:variant>
        <vt:i4>0</vt:i4>
      </vt:variant>
      <vt:variant>
        <vt:i4>5</vt:i4>
      </vt:variant>
      <vt:variant>
        <vt:lpwstr>http://www.ohchr.org/EN/Countries/ENACARegion/Pages/SKIndex.aspx</vt:lpwstr>
      </vt:variant>
      <vt:variant>
        <vt:lpwstr/>
      </vt:variant>
      <vt:variant>
        <vt:i4>2949181</vt:i4>
      </vt:variant>
      <vt:variant>
        <vt:i4>57</vt:i4>
      </vt:variant>
      <vt:variant>
        <vt:i4>0</vt:i4>
      </vt:variant>
      <vt:variant>
        <vt:i4>5</vt:i4>
      </vt:variant>
      <vt:variant>
        <vt:lpwstr>http://www.vlada.gov.sk/data/files/6489.pdf</vt:lpwstr>
      </vt:variant>
      <vt:variant>
        <vt:lpwstr/>
      </vt:variant>
      <vt:variant>
        <vt:i4>5963810</vt:i4>
      </vt:variant>
      <vt:variant>
        <vt:i4>45</vt:i4>
      </vt:variant>
      <vt:variant>
        <vt:i4>0</vt:i4>
      </vt:variant>
      <vt:variant>
        <vt:i4>5</vt:i4>
      </vt:variant>
      <vt:variant>
        <vt:lpwstr>https://www.employment.gov.sk/files/slovensky/ministerstvo/analyticke-centrum/sprava_o_socialnej_situacii_obyvatelstva_za_rok_2014.pdf</vt:lpwstr>
      </vt:variant>
      <vt:variant>
        <vt:lpwstr/>
      </vt:variant>
      <vt:variant>
        <vt:i4>65549</vt:i4>
      </vt:variant>
      <vt:variant>
        <vt:i4>42</vt:i4>
      </vt:variant>
      <vt:variant>
        <vt:i4>0</vt:i4>
      </vt:variant>
      <vt:variant>
        <vt:i4>5</vt:i4>
      </vt:variant>
      <vt:variant>
        <vt:lpwstr>http://ec.europa.eu/europe2020/pdf/csr2015/nrp2015_slovakia_sk.pdf</vt:lpwstr>
      </vt:variant>
      <vt:variant>
        <vt:lpwstr/>
      </vt:variant>
      <vt:variant>
        <vt:i4>65555</vt:i4>
      </vt:variant>
      <vt:variant>
        <vt:i4>39</vt:i4>
      </vt:variant>
      <vt:variant>
        <vt:i4>0</vt:i4>
      </vt:variant>
      <vt:variant>
        <vt:i4>5</vt:i4>
      </vt:variant>
      <vt:variant>
        <vt:lpwstr>http://www.minedu.sk/zakon-o-odbornom-vzdelavani-a-priprave/</vt:lpwstr>
      </vt:variant>
      <vt:variant>
        <vt:lpwstr/>
      </vt:variant>
      <vt:variant>
        <vt:i4>8192036</vt:i4>
      </vt:variant>
      <vt:variant>
        <vt:i4>36</vt:i4>
      </vt:variant>
      <vt:variant>
        <vt:i4>0</vt:i4>
      </vt:variant>
      <vt:variant>
        <vt:i4>5</vt:i4>
      </vt:variant>
      <vt:variant>
        <vt:lpwstr>http://www.minedu.sk/data/att/8264.pdf</vt:lpwstr>
      </vt:variant>
      <vt:variant>
        <vt:lpwstr/>
      </vt:variant>
      <vt:variant>
        <vt:i4>2818068</vt:i4>
      </vt:variant>
      <vt:variant>
        <vt:i4>30</vt:i4>
      </vt:variant>
      <vt:variant>
        <vt:i4>0</vt:i4>
      </vt:variant>
      <vt:variant>
        <vt:i4>5</vt:i4>
      </vt:variant>
      <vt:variant>
        <vt:lpwstr>http://ec.europa.eu/education/policy/strategic-framework/doc/esl-group-report_en.pdf</vt:lpwstr>
      </vt:variant>
      <vt:variant>
        <vt:lpwstr/>
      </vt:variant>
      <vt:variant>
        <vt:i4>5701712</vt:i4>
      </vt:variant>
      <vt:variant>
        <vt:i4>27</vt:i4>
      </vt:variant>
      <vt:variant>
        <vt:i4>0</vt:i4>
      </vt:variant>
      <vt:variant>
        <vt:i4>5</vt:i4>
      </vt:variant>
      <vt:variant>
        <vt:lpwstr>http://www.statistics.sk/pls/elisw/utlData.htmlBodyWin?uic=80</vt:lpwstr>
      </vt:variant>
      <vt:variant>
        <vt:lpwstr/>
      </vt:variant>
      <vt:variant>
        <vt:i4>3276920</vt:i4>
      </vt:variant>
      <vt:variant>
        <vt:i4>24</vt:i4>
      </vt:variant>
      <vt:variant>
        <vt:i4>0</vt:i4>
      </vt:variant>
      <vt:variant>
        <vt:i4>5</vt:i4>
      </vt:variant>
      <vt:variant>
        <vt:lpwstr>https://circabc.europa.eu/sd/a/6f3aab20-0c33-4875-a1f9-ec16bcff81f2/DOCSILC065 operation 2015 VERSION july2014.pdf</vt:lpwstr>
      </vt:variant>
      <vt:variant>
        <vt:lpwstr/>
      </vt:variant>
      <vt:variant>
        <vt:i4>7340045</vt:i4>
      </vt:variant>
      <vt:variant>
        <vt:i4>21</vt:i4>
      </vt:variant>
      <vt:variant>
        <vt:i4>0</vt:i4>
      </vt:variant>
      <vt:variant>
        <vt:i4>5</vt:i4>
      </vt:variant>
      <vt:variant>
        <vt:lpwstr>http://appsso.eurostat.ec.europa.eu/nui/show.do?dataset=hlth_de020&amp;lang=en</vt:lpwstr>
      </vt:variant>
      <vt:variant>
        <vt:lpwstr/>
      </vt:variant>
      <vt:variant>
        <vt:i4>7340046</vt:i4>
      </vt:variant>
      <vt:variant>
        <vt:i4>18</vt:i4>
      </vt:variant>
      <vt:variant>
        <vt:i4>0</vt:i4>
      </vt:variant>
      <vt:variant>
        <vt:i4>5</vt:i4>
      </vt:variant>
      <vt:variant>
        <vt:lpwstr>http://appsso.eurostat.ec.europa.eu/nui/show.do?dataset=hlth_de010&amp;lang=en</vt:lpwstr>
      </vt:variant>
      <vt:variant>
        <vt:lpwstr/>
      </vt:variant>
      <vt:variant>
        <vt:i4>1179735</vt:i4>
      </vt:variant>
      <vt:variant>
        <vt:i4>15</vt:i4>
      </vt:variant>
      <vt:variant>
        <vt:i4>0</vt:i4>
      </vt:variant>
      <vt:variant>
        <vt:i4>5</vt:i4>
      </vt:variant>
      <vt:variant>
        <vt:lpwstr>http://www.disability-europe.net/theme/statistical-indicators</vt:lpwstr>
      </vt:variant>
      <vt:variant>
        <vt:lpwstr/>
      </vt:variant>
      <vt:variant>
        <vt:i4>393248</vt:i4>
      </vt:variant>
      <vt:variant>
        <vt:i4>12</vt:i4>
      </vt:variant>
      <vt:variant>
        <vt:i4>0</vt:i4>
      </vt:variant>
      <vt:variant>
        <vt:i4>5</vt:i4>
      </vt:variant>
      <vt:variant>
        <vt:lpwstr>http://epp.eurostat.ec.europa.eu/statistics_explained/index.php/Glossary:Minimum_European_Health_Module_(MEHM)</vt:lpwstr>
      </vt:variant>
      <vt:variant>
        <vt:lpwstr/>
      </vt:variant>
      <vt:variant>
        <vt:i4>720987</vt:i4>
      </vt:variant>
      <vt:variant>
        <vt:i4>9</vt:i4>
      </vt:variant>
      <vt:variant>
        <vt:i4>0</vt:i4>
      </vt:variant>
      <vt:variant>
        <vt:i4>5</vt:i4>
      </vt:variant>
      <vt:variant>
        <vt:lpwstr>http://www.employment.gov.sk/files/slovensky/rodina-socialna-pomoc/tazke-zdravotne-postihnutie/narodny-program-rozvoja-zivotnych-podmienok-osob-so-zdravotnym-postihnutim-roky-2014-2020.pdf</vt:lpwstr>
      </vt:variant>
      <vt:variant>
        <vt:lpwstr/>
      </vt:variant>
      <vt:variant>
        <vt:i4>458854</vt:i4>
      </vt:variant>
      <vt:variant>
        <vt:i4>6</vt:i4>
      </vt:variant>
      <vt:variant>
        <vt:i4>0</vt:i4>
      </vt:variant>
      <vt:variant>
        <vt:i4>5</vt:i4>
      </vt:variant>
      <vt:variant>
        <vt:lpwstr>http://ec.europa.eu/europe2020/pdf/targets_en.pdf</vt:lpwstr>
      </vt:variant>
      <vt:variant>
        <vt:lpwstr/>
      </vt:variant>
      <vt:variant>
        <vt:i4>2359413</vt:i4>
      </vt:variant>
      <vt:variant>
        <vt:i4>3</vt:i4>
      </vt:variant>
      <vt:variant>
        <vt:i4>0</vt:i4>
      </vt:variant>
      <vt:variant>
        <vt:i4>5</vt:i4>
      </vt:variant>
      <vt:variant>
        <vt:lpwstr>http://www.rokovania.sk/Rokovanie.aspx/BodRokovaniaDetail?idMaterial=23180</vt:lpwstr>
      </vt:variant>
      <vt:variant>
        <vt:lpwstr/>
      </vt:variant>
      <vt:variant>
        <vt:i4>1572929</vt:i4>
      </vt:variant>
      <vt:variant>
        <vt:i4>0</vt:i4>
      </vt:variant>
      <vt:variant>
        <vt:i4>0</vt:i4>
      </vt:variant>
      <vt:variant>
        <vt:i4>5</vt:i4>
      </vt:variant>
      <vt:variant>
        <vt:lpwstr>http://www.ohchr.org/EN/Countries/ENACARegion/Pages/SKIndex.aspx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Priestley</dc:creator>
  <cp:lastModifiedBy>Ivette Groenendijk</cp:lastModifiedBy>
  <cp:revision>4</cp:revision>
  <cp:lastPrinted>2017-11-10T15:12:00Z</cp:lastPrinted>
  <dcterms:created xsi:type="dcterms:W3CDTF">2018-10-05T14:41:00Z</dcterms:created>
  <dcterms:modified xsi:type="dcterms:W3CDTF">2018-10-08T11:11:00Z</dcterms:modified>
</cp:coreProperties>
</file>